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30" w:rsidRDefault="00095F11" w:rsidP="00B21032">
      <w:pPr>
        <w:pStyle w:val="Title"/>
        <w:ind w:left="0"/>
        <w:contextualSpacing/>
      </w:pPr>
      <w:bookmarkStart w:id="0" w:name="_GoBack"/>
      <w:bookmarkEnd w:id="0"/>
      <w:r>
        <w:t>AUDIT</w:t>
      </w:r>
      <w:r w:rsidR="006644A7">
        <w:t xml:space="preserve"> </w:t>
      </w:r>
      <w:r w:rsidR="00926330" w:rsidRPr="006D348D">
        <w:t>OBSERVATIONS AND RECOMMENDATIONS</w:t>
      </w:r>
    </w:p>
    <w:p w:rsidR="0064489B" w:rsidRPr="00352593" w:rsidRDefault="0064489B" w:rsidP="00B21032">
      <w:pPr>
        <w:spacing w:after="0" w:line="240" w:lineRule="auto"/>
        <w:contextualSpacing/>
        <w:rPr>
          <w:rFonts w:ascii="Times New Roman" w:hAnsi="Times New Roman" w:cs="Times New Roman"/>
          <w:sz w:val="24"/>
          <w:szCs w:val="24"/>
          <w:lang w:eastAsia="ar-SA"/>
        </w:rPr>
      </w:pPr>
    </w:p>
    <w:p w:rsidR="008A4439" w:rsidRPr="0038700B" w:rsidRDefault="008A4439" w:rsidP="00B21032">
      <w:pPr>
        <w:spacing w:after="0" w:line="240" w:lineRule="auto"/>
        <w:contextualSpacing/>
        <w:rPr>
          <w:rFonts w:ascii="Times New Roman" w:hAnsi="Times New Roman" w:cs="Times New Roman"/>
          <w:sz w:val="24"/>
          <w:szCs w:val="24"/>
          <w:lang w:eastAsia="ar-SA"/>
        </w:rPr>
      </w:pPr>
    </w:p>
    <w:p w:rsidR="00A73571" w:rsidRPr="00874B4A" w:rsidRDefault="00E84496" w:rsidP="00B21032">
      <w:pPr>
        <w:spacing w:after="0"/>
        <w:contextualSpacing/>
        <w:jc w:val="both"/>
        <w:rPr>
          <w:rFonts w:ascii="Times New Roman" w:hAnsi="Times New Roman" w:cs="Times New Roman"/>
          <w:b/>
          <w:sz w:val="24"/>
          <w:szCs w:val="24"/>
          <w:lang w:val="en-PH"/>
        </w:rPr>
      </w:pPr>
      <w:r w:rsidRPr="00E84496">
        <w:rPr>
          <w:rFonts w:ascii="Times New Roman" w:hAnsi="Times New Roman" w:cs="Times New Roman"/>
          <w:b/>
          <w:sz w:val="24"/>
          <w:szCs w:val="24"/>
          <w:lang w:val="en-PH"/>
        </w:rPr>
        <w:t>Designated Cashier as Treasurer of the agency’s cooperative</w:t>
      </w:r>
    </w:p>
    <w:p w:rsidR="00A73571" w:rsidRPr="00565950" w:rsidRDefault="00A73571" w:rsidP="00B21032">
      <w:pPr>
        <w:spacing w:after="0"/>
        <w:contextualSpacing/>
        <w:jc w:val="both"/>
        <w:rPr>
          <w:rFonts w:ascii="Times New Roman" w:hAnsi="Times New Roman" w:cs="Times New Roman"/>
          <w:b/>
          <w:sz w:val="24"/>
          <w:szCs w:val="24"/>
          <w:lang w:val="en-PH"/>
        </w:rPr>
      </w:pPr>
    </w:p>
    <w:p w:rsidR="00B21032" w:rsidRDefault="00B21032" w:rsidP="009873AD">
      <w:pPr>
        <w:pStyle w:val="ListParagraph"/>
        <w:numPr>
          <w:ilvl w:val="0"/>
          <w:numId w:val="2"/>
        </w:numPr>
        <w:spacing w:line="240" w:lineRule="auto"/>
        <w:ind w:left="450" w:hanging="450"/>
        <w:contextualSpacing/>
        <w:jc w:val="both"/>
        <w:rPr>
          <w:rFonts w:ascii="Times New Roman" w:hAnsi="Times New Roman" w:cs="Times New Roman"/>
          <w:b/>
          <w:sz w:val="24"/>
          <w:szCs w:val="24"/>
        </w:rPr>
      </w:pPr>
      <w:r w:rsidRPr="00B21032">
        <w:rPr>
          <w:rFonts w:ascii="Times New Roman" w:hAnsi="Times New Roman" w:cs="Times New Roman"/>
          <w:b/>
          <w:sz w:val="24"/>
          <w:szCs w:val="24"/>
        </w:rPr>
        <w:t>The designated Cashier of SET is also the Treasurer of the Employees Cooperative of the agency in violation of the</w:t>
      </w:r>
      <w:r w:rsidR="007E44C6">
        <w:rPr>
          <w:rFonts w:ascii="Times New Roman" w:hAnsi="Times New Roman" w:cs="Times New Roman"/>
          <w:b/>
          <w:sz w:val="24"/>
          <w:szCs w:val="24"/>
        </w:rPr>
        <w:t xml:space="preserve"> provision under Section 9, Chapter II of the</w:t>
      </w:r>
      <w:r w:rsidRPr="00B21032">
        <w:rPr>
          <w:rFonts w:ascii="Times New Roman" w:hAnsi="Times New Roman" w:cs="Times New Roman"/>
          <w:b/>
          <w:sz w:val="24"/>
          <w:szCs w:val="24"/>
        </w:rPr>
        <w:t xml:space="preserve"> Revised Cash Examination Manual </w:t>
      </w:r>
      <w:r w:rsidR="00D86011">
        <w:rPr>
          <w:rFonts w:ascii="Times New Roman" w:hAnsi="Times New Roman" w:cs="Times New Roman"/>
          <w:b/>
          <w:sz w:val="24"/>
          <w:szCs w:val="24"/>
        </w:rPr>
        <w:t xml:space="preserve">(RCEM) </w:t>
      </w:r>
      <w:r w:rsidRPr="00B21032">
        <w:rPr>
          <w:rFonts w:ascii="Times New Roman" w:hAnsi="Times New Roman" w:cs="Times New Roman"/>
          <w:b/>
          <w:sz w:val="24"/>
          <w:szCs w:val="24"/>
        </w:rPr>
        <w:t>and</w:t>
      </w:r>
      <w:r w:rsidR="007E44C6">
        <w:rPr>
          <w:rFonts w:ascii="Times New Roman" w:hAnsi="Times New Roman" w:cs="Times New Roman"/>
          <w:b/>
          <w:sz w:val="24"/>
          <w:szCs w:val="24"/>
        </w:rPr>
        <w:t xml:space="preserve"> not in accordance with</w:t>
      </w:r>
      <w:r w:rsidRPr="00B21032">
        <w:rPr>
          <w:rFonts w:ascii="Times New Roman" w:hAnsi="Times New Roman" w:cs="Times New Roman"/>
          <w:b/>
          <w:sz w:val="24"/>
          <w:szCs w:val="24"/>
        </w:rPr>
        <w:t xml:space="preserve"> sound internal control over cash</w:t>
      </w:r>
      <w:r w:rsidR="00AA55F7">
        <w:rPr>
          <w:rFonts w:ascii="Times New Roman" w:hAnsi="Times New Roman" w:cs="Times New Roman"/>
          <w:b/>
          <w:sz w:val="24"/>
          <w:szCs w:val="24"/>
        </w:rPr>
        <w:t>.</w:t>
      </w:r>
    </w:p>
    <w:p w:rsidR="008A4439" w:rsidRPr="008A4439" w:rsidRDefault="00B21032" w:rsidP="00B21032">
      <w:pPr>
        <w:pStyle w:val="ListParagraph"/>
        <w:spacing w:line="240" w:lineRule="auto"/>
        <w:ind w:left="450"/>
        <w:contextualSpacing/>
        <w:jc w:val="both"/>
        <w:rPr>
          <w:rFonts w:ascii="Times New Roman" w:hAnsi="Times New Roman" w:cs="Times New Roman"/>
          <w:b/>
          <w:sz w:val="24"/>
          <w:szCs w:val="24"/>
        </w:rPr>
      </w:pPr>
      <w:r w:rsidRPr="00B21032">
        <w:rPr>
          <w:rFonts w:ascii="Times New Roman" w:hAnsi="Times New Roman" w:cs="Times New Roman"/>
          <w:b/>
          <w:sz w:val="24"/>
          <w:szCs w:val="24"/>
        </w:rPr>
        <w:t xml:space="preserve"> </w:t>
      </w:r>
    </w:p>
    <w:p w:rsidR="00D86011" w:rsidRPr="00352593" w:rsidRDefault="00D86011" w:rsidP="00FF7DCC">
      <w:pPr>
        <w:pStyle w:val="ListParagraph"/>
        <w:numPr>
          <w:ilvl w:val="1"/>
          <w:numId w:val="2"/>
        </w:numPr>
        <w:spacing w:after="0" w:line="240" w:lineRule="auto"/>
        <w:ind w:left="990" w:hanging="540"/>
        <w:contextualSpacing/>
        <w:jc w:val="both"/>
        <w:rPr>
          <w:rFonts w:ascii="Times New Roman" w:hAnsi="Times New Roman" w:cs="Times New Roman"/>
          <w:sz w:val="24"/>
          <w:szCs w:val="24"/>
        </w:rPr>
      </w:pPr>
      <w:r w:rsidRPr="00B21032">
        <w:rPr>
          <w:rFonts w:ascii="Times New Roman" w:hAnsi="Times New Roman" w:cs="Times New Roman"/>
          <w:sz w:val="24"/>
          <w:szCs w:val="24"/>
        </w:rPr>
        <w:t>In the co</w:t>
      </w:r>
      <w:r>
        <w:rPr>
          <w:rFonts w:ascii="Times New Roman" w:hAnsi="Times New Roman" w:cs="Times New Roman"/>
          <w:sz w:val="24"/>
          <w:szCs w:val="24"/>
        </w:rPr>
        <w:t>nduct</w:t>
      </w:r>
      <w:r w:rsidRPr="00B21032">
        <w:rPr>
          <w:rFonts w:ascii="Times New Roman" w:hAnsi="Times New Roman" w:cs="Times New Roman"/>
          <w:sz w:val="24"/>
          <w:szCs w:val="24"/>
        </w:rPr>
        <w:t xml:space="preserve"> of the</w:t>
      </w:r>
      <w:r w:rsidR="007E44C6" w:rsidRPr="007E44C6">
        <w:rPr>
          <w:rFonts w:ascii="Times New Roman" w:hAnsi="Times New Roman" w:cs="Times New Roman"/>
          <w:sz w:val="24"/>
          <w:szCs w:val="24"/>
        </w:rPr>
        <w:t xml:space="preserve"> </w:t>
      </w:r>
      <w:r w:rsidR="007E44C6">
        <w:rPr>
          <w:rFonts w:ascii="Times New Roman" w:hAnsi="Times New Roman" w:cs="Times New Roman"/>
          <w:sz w:val="24"/>
          <w:szCs w:val="24"/>
        </w:rPr>
        <w:t>examination of the</w:t>
      </w:r>
      <w:r w:rsidRPr="00B21032">
        <w:rPr>
          <w:rFonts w:ascii="Times New Roman" w:hAnsi="Times New Roman" w:cs="Times New Roman"/>
          <w:sz w:val="24"/>
          <w:szCs w:val="24"/>
        </w:rPr>
        <w:t xml:space="preserve"> cash and accounts of the designated cashier</w:t>
      </w:r>
      <w:r>
        <w:rPr>
          <w:rFonts w:ascii="Times New Roman" w:hAnsi="Times New Roman" w:cs="Times New Roman"/>
          <w:sz w:val="24"/>
          <w:szCs w:val="24"/>
        </w:rPr>
        <w:t>,</w:t>
      </w:r>
      <w:r w:rsidRPr="00B21032">
        <w:rPr>
          <w:rFonts w:ascii="Times New Roman" w:hAnsi="Times New Roman" w:cs="Times New Roman"/>
          <w:sz w:val="24"/>
          <w:szCs w:val="24"/>
        </w:rPr>
        <w:t xml:space="preserve"> </w:t>
      </w:r>
      <w:r>
        <w:rPr>
          <w:rFonts w:ascii="Times New Roman" w:hAnsi="Times New Roman" w:cs="Times New Roman"/>
          <w:sz w:val="24"/>
          <w:szCs w:val="24"/>
        </w:rPr>
        <w:t xml:space="preserve">the audit team noted </w:t>
      </w:r>
      <w:r w:rsidRPr="00B21032">
        <w:rPr>
          <w:rFonts w:ascii="Times New Roman" w:hAnsi="Times New Roman" w:cs="Times New Roman"/>
          <w:sz w:val="24"/>
          <w:szCs w:val="24"/>
        </w:rPr>
        <w:t>that the vault also contains cash inside an envelope belonging to SET-Employees Cooperative.</w:t>
      </w:r>
    </w:p>
    <w:p w:rsidR="008A4439" w:rsidRPr="00352593" w:rsidRDefault="008A4439" w:rsidP="00352593">
      <w:pPr>
        <w:spacing w:after="0" w:line="240" w:lineRule="auto"/>
        <w:contextualSpacing/>
        <w:jc w:val="both"/>
        <w:rPr>
          <w:rFonts w:ascii="Times New Roman" w:hAnsi="Times New Roman" w:cs="Times New Roman"/>
          <w:i/>
          <w:sz w:val="24"/>
          <w:szCs w:val="24"/>
        </w:rPr>
      </w:pPr>
    </w:p>
    <w:p w:rsidR="00B21032" w:rsidRDefault="00B21032" w:rsidP="00B21032">
      <w:pPr>
        <w:pStyle w:val="ListParagraph"/>
        <w:numPr>
          <w:ilvl w:val="1"/>
          <w:numId w:val="2"/>
        </w:numPr>
        <w:spacing w:after="0" w:line="240" w:lineRule="auto"/>
        <w:ind w:left="990" w:hanging="540"/>
        <w:contextualSpacing/>
        <w:jc w:val="both"/>
        <w:rPr>
          <w:rFonts w:ascii="Times New Roman" w:hAnsi="Times New Roman" w:cs="Times New Roman"/>
          <w:sz w:val="24"/>
          <w:szCs w:val="24"/>
        </w:rPr>
      </w:pPr>
      <w:r w:rsidRPr="00B21032">
        <w:rPr>
          <w:rFonts w:ascii="Times New Roman" w:hAnsi="Times New Roman" w:cs="Times New Roman"/>
          <w:sz w:val="24"/>
          <w:szCs w:val="24"/>
        </w:rPr>
        <w:t xml:space="preserve">Sound internal controls dictate that effective cash management provides for adequate safeguards against fraud and losses of government funds. </w:t>
      </w:r>
      <w:r w:rsidR="00D86011">
        <w:rPr>
          <w:rFonts w:ascii="Times New Roman" w:hAnsi="Times New Roman" w:cs="Times New Roman"/>
          <w:sz w:val="24"/>
          <w:szCs w:val="24"/>
        </w:rPr>
        <w:t>C</w:t>
      </w:r>
      <w:r w:rsidRPr="00B21032">
        <w:rPr>
          <w:rFonts w:ascii="Times New Roman" w:hAnsi="Times New Roman" w:cs="Times New Roman"/>
          <w:sz w:val="24"/>
          <w:szCs w:val="24"/>
        </w:rPr>
        <w:t>ash is the most liquid asset of an agency, hence</w:t>
      </w:r>
      <w:r w:rsidR="00D86011">
        <w:rPr>
          <w:rFonts w:ascii="Times New Roman" w:hAnsi="Times New Roman" w:cs="Times New Roman"/>
          <w:sz w:val="24"/>
          <w:szCs w:val="24"/>
        </w:rPr>
        <w:t>,</w:t>
      </w:r>
      <w:r w:rsidRPr="00B21032">
        <w:rPr>
          <w:rFonts w:ascii="Times New Roman" w:hAnsi="Times New Roman" w:cs="Times New Roman"/>
          <w:sz w:val="24"/>
          <w:szCs w:val="24"/>
        </w:rPr>
        <w:t xml:space="preserve"> it is the most susceptible to theft and misappropriation.  </w:t>
      </w:r>
      <w:r w:rsidR="00D86011">
        <w:rPr>
          <w:rFonts w:ascii="Times New Roman" w:hAnsi="Times New Roman" w:cs="Times New Roman"/>
          <w:sz w:val="24"/>
          <w:szCs w:val="24"/>
        </w:rPr>
        <w:t>To</w:t>
      </w:r>
      <w:r w:rsidRPr="00B21032">
        <w:rPr>
          <w:rFonts w:ascii="Times New Roman" w:hAnsi="Times New Roman" w:cs="Times New Roman"/>
          <w:sz w:val="24"/>
          <w:szCs w:val="24"/>
        </w:rPr>
        <w:t xml:space="preserve"> ensur</w:t>
      </w:r>
      <w:r w:rsidR="00D86011">
        <w:rPr>
          <w:rFonts w:ascii="Times New Roman" w:hAnsi="Times New Roman" w:cs="Times New Roman"/>
          <w:sz w:val="24"/>
          <w:szCs w:val="24"/>
        </w:rPr>
        <w:t>e</w:t>
      </w:r>
      <w:r w:rsidRPr="00B21032">
        <w:rPr>
          <w:rFonts w:ascii="Times New Roman" w:hAnsi="Times New Roman" w:cs="Times New Roman"/>
          <w:sz w:val="24"/>
          <w:szCs w:val="24"/>
        </w:rPr>
        <w:t xml:space="preserve"> that cash is adequately protected, controls over cash </w:t>
      </w:r>
      <w:r w:rsidR="00C40205">
        <w:rPr>
          <w:rFonts w:ascii="Times New Roman" w:hAnsi="Times New Roman" w:cs="Times New Roman"/>
          <w:sz w:val="24"/>
          <w:szCs w:val="24"/>
        </w:rPr>
        <w:t xml:space="preserve">such as </w:t>
      </w:r>
      <w:r w:rsidR="00C64BCF">
        <w:rPr>
          <w:rFonts w:ascii="Times New Roman" w:hAnsi="Times New Roman" w:cs="Times New Roman"/>
          <w:sz w:val="24"/>
          <w:szCs w:val="24"/>
        </w:rPr>
        <w:t>segregation of du</w:t>
      </w:r>
      <w:r w:rsidR="00C40205">
        <w:rPr>
          <w:rFonts w:ascii="Times New Roman" w:hAnsi="Times New Roman" w:cs="Times New Roman"/>
          <w:sz w:val="24"/>
          <w:szCs w:val="24"/>
        </w:rPr>
        <w:t xml:space="preserve">ties, </w:t>
      </w:r>
      <w:r w:rsidR="00C64BCF">
        <w:rPr>
          <w:rFonts w:ascii="Times New Roman" w:hAnsi="Times New Roman" w:cs="Times New Roman"/>
          <w:sz w:val="24"/>
          <w:szCs w:val="24"/>
        </w:rPr>
        <w:t>accountability</w:t>
      </w:r>
      <w:r w:rsidR="00C40205">
        <w:rPr>
          <w:rFonts w:ascii="Times New Roman" w:hAnsi="Times New Roman" w:cs="Times New Roman"/>
          <w:sz w:val="24"/>
          <w:szCs w:val="24"/>
        </w:rPr>
        <w:t xml:space="preserve">, reconciliations and monitoring </w:t>
      </w:r>
      <w:r w:rsidRPr="00B21032">
        <w:rPr>
          <w:rFonts w:ascii="Times New Roman" w:hAnsi="Times New Roman" w:cs="Times New Roman"/>
          <w:sz w:val="24"/>
          <w:szCs w:val="24"/>
        </w:rPr>
        <w:t>should be in place.</w:t>
      </w:r>
      <w:r w:rsidR="00C64BCF">
        <w:rPr>
          <w:rFonts w:ascii="Times New Roman" w:hAnsi="Times New Roman" w:cs="Times New Roman"/>
          <w:sz w:val="24"/>
          <w:szCs w:val="24"/>
        </w:rPr>
        <w:t xml:space="preserve"> </w:t>
      </w:r>
      <w:r w:rsidR="00080045">
        <w:rPr>
          <w:rFonts w:ascii="Times New Roman" w:hAnsi="Times New Roman" w:cs="Times New Roman"/>
          <w:sz w:val="24"/>
          <w:szCs w:val="24"/>
        </w:rPr>
        <w:t>T</w:t>
      </w:r>
      <w:r w:rsidRPr="00B21032">
        <w:rPr>
          <w:rFonts w:ascii="Times New Roman" w:hAnsi="Times New Roman" w:cs="Times New Roman"/>
          <w:sz w:val="24"/>
          <w:szCs w:val="24"/>
        </w:rPr>
        <w:t xml:space="preserve">he head of the agency </w:t>
      </w:r>
      <w:r w:rsidR="00080045">
        <w:rPr>
          <w:rFonts w:ascii="Times New Roman" w:hAnsi="Times New Roman" w:cs="Times New Roman"/>
          <w:sz w:val="24"/>
          <w:szCs w:val="24"/>
        </w:rPr>
        <w:t>shall be directly responsible for</w:t>
      </w:r>
      <w:r w:rsidRPr="00B21032">
        <w:rPr>
          <w:rFonts w:ascii="Times New Roman" w:hAnsi="Times New Roman" w:cs="Times New Roman"/>
          <w:sz w:val="24"/>
          <w:szCs w:val="24"/>
        </w:rPr>
        <w:t xml:space="preserve"> install</w:t>
      </w:r>
      <w:r w:rsidR="00080045">
        <w:rPr>
          <w:rFonts w:ascii="Times New Roman" w:hAnsi="Times New Roman" w:cs="Times New Roman"/>
          <w:sz w:val="24"/>
          <w:szCs w:val="24"/>
        </w:rPr>
        <w:t>ing</w:t>
      </w:r>
      <w:r w:rsidRPr="00B21032">
        <w:rPr>
          <w:rFonts w:ascii="Times New Roman" w:hAnsi="Times New Roman" w:cs="Times New Roman"/>
          <w:sz w:val="24"/>
          <w:szCs w:val="24"/>
        </w:rPr>
        <w:t>, implement</w:t>
      </w:r>
      <w:r w:rsidR="00080045">
        <w:rPr>
          <w:rFonts w:ascii="Times New Roman" w:hAnsi="Times New Roman" w:cs="Times New Roman"/>
          <w:sz w:val="24"/>
          <w:szCs w:val="24"/>
        </w:rPr>
        <w:t>ing</w:t>
      </w:r>
      <w:r w:rsidRPr="00B21032">
        <w:rPr>
          <w:rFonts w:ascii="Times New Roman" w:hAnsi="Times New Roman" w:cs="Times New Roman"/>
          <w:sz w:val="24"/>
          <w:szCs w:val="24"/>
        </w:rPr>
        <w:t xml:space="preserve"> and monitor</w:t>
      </w:r>
      <w:r w:rsidR="00080045">
        <w:rPr>
          <w:rFonts w:ascii="Times New Roman" w:hAnsi="Times New Roman" w:cs="Times New Roman"/>
          <w:sz w:val="24"/>
          <w:szCs w:val="24"/>
        </w:rPr>
        <w:t>ing</w:t>
      </w:r>
      <w:r w:rsidRPr="00B21032">
        <w:rPr>
          <w:rFonts w:ascii="Times New Roman" w:hAnsi="Times New Roman" w:cs="Times New Roman"/>
          <w:sz w:val="24"/>
          <w:szCs w:val="24"/>
        </w:rPr>
        <w:t xml:space="preserve"> safeguards and procedures particularly those in connection with the control over agency’s assets and resources.</w:t>
      </w:r>
    </w:p>
    <w:p w:rsidR="00D86011" w:rsidRDefault="00D86011" w:rsidP="00352593">
      <w:pPr>
        <w:pStyle w:val="ListParagraph"/>
        <w:spacing w:after="0" w:line="240" w:lineRule="auto"/>
        <w:ind w:left="990"/>
        <w:contextualSpacing/>
        <w:jc w:val="both"/>
        <w:rPr>
          <w:rFonts w:ascii="Times New Roman" w:hAnsi="Times New Roman" w:cs="Times New Roman"/>
          <w:sz w:val="24"/>
          <w:szCs w:val="24"/>
        </w:rPr>
      </w:pPr>
    </w:p>
    <w:p w:rsidR="00D86011" w:rsidRPr="00352593" w:rsidRDefault="007E44C6" w:rsidP="00FF7DCC">
      <w:pPr>
        <w:pStyle w:val="ListParagraph"/>
        <w:numPr>
          <w:ilvl w:val="1"/>
          <w:numId w:val="2"/>
        </w:numPr>
        <w:spacing w:after="0" w:line="240" w:lineRule="auto"/>
        <w:ind w:left="990" w:hanging="540"/>
        <w:contextualSpacing/>
        <w:jc w:val="both"/>
        <w:rPr>
          <w:rFonts w:ascii="Times New Roman" w:hAnsi="Times New Roman" w:cs="Times New Roman"/>
          <w:i/>
          <w:sz w:val="24"/>
          <w:szCs w:val="24"/>
        </w:rPr>
      </w:pPr>
      <w:r>
        <w:rPr>
          <w:rFonts w:ascii="Times New Roman" w:hAnsi="Times New Roman" w:cs="Times New Roman"/>
          <w:sz w:val="24"/>
          <w:szCs w:val="24"/>
        </w:rPr>
        <w:t xml:space="preserve">Section 9, </w:t>
      </w:r>
      <w:r w:rsidR="00D86011" w:rsidRPr="00B21032">
        <w:rPr>
          <w:rFonts w:ascii="Times New Roman" w:hAnsi="Times New Roman" w:cs="Times New Roman"/>
          <w:sz w:val="24"/>
          <w:szCs w:val="24"/>
        </w:rPr>
        <w:t>Chapter II</w:t>
      </w:r>
      <w:r>
        <w:rPr>
          <w:rFonts w:ascii="Times New Roman" w:hAnsi="Times New Roman" w:cs="Times New Roman"/>
          <w:sz w:val="24"/>
          <w:szCs w:val="24"/>
        </w:rPr>
        <w:t xml:space="preserve"> </w:t>
      </w:r>
      <w:r w:rsidR="00D86011" w:rsidRPr="00B21032">
        <w:rPr>
          <w:rFonts w:ascii="Times New Roman" w:hAnsi="Times New Roman" w:cs="Times New Roman"/>
          <w:sz w:val="24"/>
          <w:szCs w:val="24"/>
        </w:rPr>
        <w:t xml:space="preserve">of the </w:t>
      </w:r>
      <w:r w:rsidR="00080045">
        <w:rPr>
          <w:rFonts w:ascii="Times New Roman" w:hAnsi="Times New Roman" w:cs="Times New Roman"/>
          <w:sz w:val="24"/>
          <w:szCs w:val="24"/>
        </w:rPr>
        <w:t>RCEM</w:t>
      </w:r>
      <w:r w:rsidR="00D86011">
        <w:rPr>
          <w:rFonts w:ascii="Times New Roman" w:hAnsi="Times New Roman" w:cs="Times New Roman"/>
          <w:sz w:val="24"/>
          <w:szCs w:val="24"/>
        </w:rPr>
        <w:t xml:space="preserve"> states</w:t>
      </w:r>
      <w:r w:rsidR="00080045">
        <w:rPr>
          <w:rFonts w:ascii="Times New Roman" w:hAnsi="Times New Roman" w:cs="Times New Roman"/>
          <w:sz w:val="24"/>
          <w:szCs w:val="24"/>
        </w:rPr>
        <w:t xml:space="preserve">: </w:t>
      </w:r>
      <w:r w:rsidR="00D86011" w:rsidRPr="00B21032">
        <w:rPr>
          <w:rFonts w:ascii="Times New Roman" w:hAnsi="Times New Roman" w:cs="Times New Roman"/>
          <w:i/>
          <w:sz w:val="24"/>
          <w:szCs w:val="24"/>
        </w:rPr>
        <w:t>“Government cashiers are prohibited from holding positions as cashiers or treasurers of savings and loan associations or any other association or organization.”</w:t>
      </w:r>
    </w:p>
    <w:p w:rsidR="00D86011" w:rsidRPr="00352593" w:rsidRDefault="00B21032" w:rsidP="00352593">
      <w:pPr>
        <w:spacing w:after="0" w:line="240" w:lineRule="auto"/>
        <w:contextualSpacing/>
        <w:jc w:val="both"/>
        <w:rPr>
          <w:rFonts w:ascii="Times New Roman" w:hAnsi="Times New Roman" w:cs="Times New Roman"/>
          <w:sz w:val="24"/>
          <w:szCs w:val="24"/>
        </w:rPr>
      </w:pPr>
      <w:r w:rsidRPr="00B21032">
        <w:rPr>
          <w:rFonts w:ascii="Times New Roman" w:hAnsi="Times New Roman" w:cs="Times New Roman"/>
          <w:sz w:val="24"/>
          <w:szCs w:val="24"/>
        </w:rPr>
        <w:t xml:space="preserve"> </w:t>
      </w:r>
    </w:p>
    <w:p w:rsidR="00B21032" w:rsidRDefault="00C40205" w:rsidP="00B21032">
      <w:pPr>
        <w:pStyle w:val="ListParagraph"/>
        <w:numPr>
          <w:ilvl w:val="1"/>
          <w:numId w:val="2"/>
        </w:numPr>
        <w:spacing w:after="0" w:line="240" w:lineRule="auto"/>
        <w:ind w:left="990" w:hanging="540"/>
        <w:contextualSpacing/>
        <w:jc w:val="both"/>
        <w:rPr>
          <w:rFonts w:ascii="Times New Roman" w:hAnsi="Times New Roman" w:cs="Times New Roman"/>
          <w:sz w:val="24"/>
          <w:szCs w:val="24"/>
        </w:rPr>
      </w:pPr>
      <w:r>
        <w:rPr>
          <w:rFonts w:ascii="Times New Roman" w:hAnsi="Times New Roman" w:cs="Times New Roman"/>
          <w:sz w:val="24"/>
          <w:szCs w:val="24"/>
        </w:rPr>
        <w:t>I</w:t>
      </w:r>
      <w:r w:rsidR="00B21032" w:rsidRPr="00B21032">
        <w:rPr>
          <w:rFonts w:ascii="Times New Roman" w:hAnsi="Times New Roman" w:cs="Times New Roman"/>
          <w:sz w:val="24"/>
          <w:szCs w:val="24"/>
        </w:rPr>
        <w:t>nquiry with the Cashier who was designated as C</w:t>
      </w:r>
      <w:r w:rsidR="0038700B">
        <w:rPr>
          <w:rFonts w:ascii="Times New Roman" w:hAnsi="Times New Roman" w:cs="Times New Roman"/>
          <w:sz w:val="24"/>
          <w:szCs w:val="24"/>
        </w:rPr>
        <w:t xml:space="preserve">ollecting </w:t>
      </w:r>
      <w:r w:rsidR="00B21032" w:rsidRPr="00B21032">
        <w:rPr>
          <w:rFonts w:ascii="Times New Roman" w:hAnsi="Times New Roman" w:cs="Times New Roman"/>
          <w:sz w:val="24"/>
          <w:szCs w:val="24"/>
        </w:rPr>
        <w:t>O</w:t>
      </w:r>
      <w:r w:rsidR="0038700B">
        <w:rPr>
          <w:rFonts w:ascii="Times New Roman" w:hAnsi="Times New Roman" w:cs="Times New Roman"/>
          <w:sz w:val="24"/>
          <w:szCs w:val="24"/>
        </w:rPr>
        <w:t>fficer</w:t>
      </w:r>
      <w:r w:rsidR="00B21032" w:rsidRPr="00B21032">
        <w:rPr>
          <w:rFonts w:ascii="Times New Roman" w:hAnsi="Times New Roman" w:cs="Times New Roman"/>
          <w:sz w:val="24"/>
          <w:szCs w:val="24"/>
        </w:rPr>
        <w:t>/S</w:t>
      </w:r>
      <w:r w:rsidR="0038700B">
        <w:rPr>
          <w:rFonts w:ascii="Times New Roman" w:hAnsi="Times New Roman" w:cs="Times New Roman"/>
          <w:sz w:val="24"/>
          <w:szCs w:val="24"/>
        </w:rPr>
        <w:t xml:space="preserve">pecial </w:t>
      </w:r>
      <w:r w:rsidR="00B21032" w:rsidRPr="00B21032">
        <w:rPr>
          <w:rFonts w:ascii="Times New Roman" w:hAnsi="Times New Roman" w:cs="Times New Roman"/>
          <w:sz w:val="24"/>
          <w:szCs w:val="24"/>
        </w:rPr>
        <w:t>D</w:t>
      </w:r>
      <w:r w:rsidR="0038700B">
        <w:rPr>
          <w:rFonts w:ascii="Times New Roman" w:hAnsi="Times New Roman" w:cs="Times New Roman"/>
          <w:sz w:val="24"/>
          <w:szCs w:val="24"/>
        </w:rPr>
        <w:t xml:space="preserve">isbursing </w:t>
      </w:r>
      <w:r w:rsidR="00B21032" w:rsidRPr="00B21032">
        <w:rPr>
          <w:rFonts w:ascii="Times New Roman" w:hAnsi="Times New Roman" w:cs="Times New Roman"/>
          <w:sz w:val="24"/>
          <w:szCs w:val="24"/>
        </w:rPr>
        <w:t>O</w:t>
      </w:r>
      <w:r w:rsidR="0038700B">
        <w:rPr>
          <w:rFonts w:ascii="Times New Roman" w:hAnsi="Times New Roman" w:cs="Times New Roman"/>
          <w:sz w:val="24"/>
          <w:szCs w:val="24"/>
        </w:rPr>
        <w:t>fficer</w:t>
      </w:r>
      <w:r w:rsidR="00B21032" w:rsidRPr="00B21032">
        <w:rPr>
          <w:rFonts w:ascii="Times New Roman" w:hAnsi="Times New Roman" w:cs="Times New Roman"/>
          <w:sz w:val="24"/>
          <w:szCs w:val="24"/>
        </w:rPr>
        <w:t xml:space="preserve"> of the agency, disclosed that she is also performing the functions of the treasurer of SET-Employees Cooperative. As such, she collects loan payments and additional subscriptions from its members. </w:t>
      </w:r>
    </w:p>
    <w:p w:rsidR="00B21032" w:rsidRPr="00B21032" w:rsidRDefault="00B21032" w:rsidP="00B21032">
      <w:pPr>
        <w:spacing w:after="0" w:line="240" w:lineRule="auto"/>
        <w:contextualSpacing/>
        <w:jc w:val="both"/>
        <w:rPr>
          <w:rFonts w:ascii="Times New Roman" w:hAnsi="Times New Roman" w:cs="Times New Roman"/>
          <w:sz w:val="24"/>
          <w:szCs w:val="24"/>
        </w:rPr>
      </w:pPr>
    </w:p>
    <w:p w:rsidR="00B21032" w:rsidRPr="00A73571" w:rsidRDefault="00B21032" w:rsidP="00B21032">
      <w:pPr>
        <w:pStyle w:val="ListParagraph"/>
        <w:numPr>
          <w:ilvl w:val="1"/>
          <w:numId w:val="2"/>
        </w:numPr>
        <w:spacing w:after="0" w:line="240" w:lineRule="auto"/>
        <w:ind w:left="990" w:hanging="540"/>
        <w:contextualSpacing/>
        <w:jc w:val="both"/>
        <w:rPr>
          <w:rFonts w:ascii="Times New Roman" w:hAnsi="Times New Roman" w:cs="Times New Roman"/>
          <w:sz w:val="24"/>
          <w:szCs w:val="24"/>
        </w:rPr>
      </w:pPr>
      <w:r w:rsidRPr="00B21032">
        <w:rPr>
          <w:rFonts w:ascii="Times New Roman" w:hAnsi="Times New Roman" w:cs="Times New Roman"/>
          <w:sz w:val="24"/>
          <w:szCs w:val="24"/>
        </w:rPr>
        <w:t>Aside from clear prohibition for the cashier from holding position as treasurer of any other association, the accountable officer handling cash receipts should not be made to perform the same for other organization to prevent inadvertent misapplication of funds.</w:t>
      </w:r>
    </w:p>
    <w:p w:rsidR="00A73571" w:rsidRPr="00A73571" w:rsidRDefault="00A73571" w:rsidP="00B21032">
      <w:pPr>
        <w:spacing w:after="0" w:line="240" w:lineRule="auto"/>
        <w:contextualSpacing/>
        <w:jc w:val="both"/>
        <w:rPr>
          <w:rFonts w:ascii="Times New Roman" w:hAnsi="Times New Roman" w:cs="Times New Roman"/>
          <w:sz w:val="24"/>
          <w:szCs w:val="24"/>
          <w:lang w:val="en-PH"/>
        </w:rPr>
      </w:pPr>
      <w:r w:rsidRPr="00A73571">
        <w:rPr>
          <w:rFonts w:ascii="Times New Roman" w:hAnsi="Times New Roman" w:cs="Times New Roman"/>
          <w:lang w:val="en-PH"/>
        </w:rPr>
        <w:tab/>
      </w:r>
      <w:r w:rsidRPr="00A73571">
        <w:rPr>
          <w:rFonts w:ascii="Times New Roman" w:hAnsi="Times New Roman" w:cs="Times New Roman"/>
          <w:sz w:val="24"/>
          <w:szCs w:val="24"/>
          <w:lang w:val="en-PH"/>
        </w:rPr>
        <w:t xml:space="preserve"> </w:t>
      </w:r>
    </w:p>
    <w:p w:rsidR="00A20BCD" w:rsidRDefault="000700C2" w:rsidP="000700C2">
      <w:pPr>
        <w:pStyle w:val="ListParagraph"/>
        <w:spacing w:after="0" w:line="240" w:lineRule="auto"/>
        <w:ind w:left="990" w:hanging="540"/>
        <w:contextualSpacing/>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 xml:space="preserve">We </w:t>
      </w:r>
      <w:r w:rsidR="00B21032" w:rsidRPr="00B21032">
        <w:rPr>
          <w:rFonts w:ascii="Times New Roman" w:hAnsi="Times New Roman" w:cs="Times New Roman"/>
          <w:b/>
          <w:sz w:val="24"/>
          <w:szCs w:val="24"/>
        </w:rPr>
        <w:t>recommend</w:t>
      </w:r>
      <w:r w:rsidR="00B21032">
        <w:rPr>
          <w:rFonts w:ascii="Times New Roman" w:hAnsi="Times New Roman" w:cs="Times New Roman"/>
          <w:b/>
          <w:sz w:val="24"/>
          <w:szCs w:val="24"/>
        </w:rPr>
        <w:t xml:space="preserve">ed and </w:t>
      </w:r>
      <w:r w:rsidR="00B21032" w:rsidRPr="00B21032">
        <w:rPr>
          <w:rFonts w:ascii="Times New Roman" w:hAnsi="Times New Roman" w:cs="Times New Roman"/>
          <w:b/>
          <w:sz w:val="24"/>
          <w:szCs w:val="24"/>
        </w:rPr>
        <w:t xml:space="preserve">Management </w:t>
      </w:r>
      <w:r w:rsidR="00B21032">
        <w:rPr>
          <w:rFonts w:ascii="Times New Roman" w:hAnsi="Times New Roman" w:cs="Times New Roman"/>
          <w:b/>
          <w:sz w:val="24"/>
          <w:szCs w:val="24"/>
        </w:rPr>
        <w:t xml:space="preserve">agreed to </w:t>
      </w:r>
      <w:r w:rsidR="00C40205">
        <w:rPr>
          <w:rFonts w:ascii="Times New Roman" w:hAnsi="Times New Roman" w:cs="Times New Roman"/>
          <w:b/>
          <w:sz w:val="24"/>
          <w:szCs w:val="24"/>
        </w:rPr>
        <w:t>require</w:t>
      </w:r>
      <w:r w:rsidR="00B21032" w:rsidRPr="00B21032">
        <w:rPr>
          <w:rFonts w:ascii="Times New Roman" w:hAnsi="Times New Roman" w:cs="Times New Roman"/>
          <w:b/>
          <w:sz w:val="24"/>
          <w:szCs w:val="24"/>
        </w:rPr>
        <w:t xml:space="preserve"> the Cashier to immediately relinquish her position as treasurer of the SET-Employees Cooperative and refrain from accepting position</w:t>
      </w:r>
      <w:r w:rsidR="00C40205">
        <w:rPr>
          <w:rFonts w:ascii="Times New Roman" w:hAnsi="Times New Roman" w:cs="Times New Roman"/>
          <w:b/>
          <w:sz w:val="24"/>
          <w:szCs w:val="24"/>
        </w:rPr>
        <w:t xml:space="preserve"> </w:t>
      </w:r>
      <w:r w:rsidR="00B21032" w:rsidRPr="00B21032">
        <w:rPr>
          <w:rFonts w:ascii="Times New Roman" w:hAnsi="Times New Roman" w:cs="Times New Roman"/>
          <w:b/>
          <w:sz w:val="24"/>
          <w:szCs w:val="24"/>
        </w:rPr>
        <w:t xml:space="preserve">involving </w:t>
      </w:r>
      <w:r w:rsidR="00C40205">
        <w:rPr>
          <w:rFonts w:ascii="Times New Roman" w:hAnsi="Times New Roman" w:cs="Times New Roman"/>
          <w:b/>
          <w:sz w:val="24"/>
          <w:szCs w:val="24"/>
        </w:rPr>
        <w:t xml:space="preserve">handling of </w:t>
      </w:r>
      <w:r w:rsidR="00B21032" w:rsidRPr="00B21032">
        <w:rPr>
          <w:rFonts w:ascii="Times New Roman" w:hAnsi="Times New Roman" w:cs="Times New Roman"/>
          <w:b/>
          <w:sz w:val="24"/>
          <w:szCs w:val="24"/>
        </w:rPr>
        <w:t>cash</w:t>
      </w:r>
      <w:r w:rsidR="00C40205">
        <w:rPr>
          <w:rFonts w:ascii="Times New Roman" w:hAnsi="Times New Roman" w:cs="Times New Roman"/>
          <w:b/>
          <w:sz w:val="24"/>
          <w:szCs w:val="24"/>
        </w:rPr>
        <w:t xml:space="preserve"> </w:t>
      </w:r>
      <w:r w:rsidR="00080045">
        <w:rPr>
          <w:rFonts w:ascii="Times New Roman" w:hAnsi="Times New Roman" w:cs="Times New Roman"/>
          <w:b/>
          <w:sz w:val="24"/>
          <w:szCs w:val="24"/>
        </w:rPr>
        <w:t xml:space="preserve">accountability </w:t>
      </w:r>
      <w:r w:rsidR="00C40205">
        <w:rPr>
          <w:rFonts w:ascii="Times New Roman" w:hAnsi="Times New Roman" w:cs="Times New Roman"/>
          <w:b/>
          <w:sz w:val="24"/>
          <w:szCs w:val="24"/>
        </w:rPr>
        <w:t>in compliance with the existing rules and regulations</w:t>
      </w:r>
      <w:r w:rsidR="00B21032" w:rsidRPr="00B21032">
        <w:rPr>
          <w:rFonts w:ascii="Times New Roman" w:hAnsi="Times New Roman" w:cs="Times New Roman"/>
          <w:b/>
          <w:sz w:val="24"/>
          <w:szCs w:val="24"/>
        </w:rPr>
        <w:t xml:space="preserve">. </w:t>
      </w:r>
    </w:p>
    <w:p w:rsidR="000B0188" w:rsidRDefault="000B0188" w:rsidP="000700C2">
      <w:pPr>
        <w:pStyle w:val="ListParagraph"/>
        <w:spacing w:after="0" w:line="240" w:lineRule="auto"/>
        <w:ind w:left="990" w:hanging="540"/>
        <w:contextualSpacing/>
        <w:jc w:val="both"/>
        <w:rPr>
          <w:rFonts w:ascii="Times New Roman" w:hAnsi="Times New Roman" w:cs="Times New Roman"/>
          <w:b/>
          <w:sz w:val="24"/>
          <w:szCs w:val="24"/>
        </w:rPr>
      </w:pPr>
    </w:p>
    <w:p w:rsidR="00C40205" w:rsidRDefault="00C40205" w:rsidP="000700C2">
      <w:pPr>
        <w:pStyle w:val="ListParagraph"/>
        <w:spacing w:after="0" w:line="240" w:lineRule="auto"/>
        <w:ind w:left="990" w:hanging="540"/>
        <w:contextualSpacing/>
        <w:jc w:val="both"/>
        <w:rPr>
          <w:rFonts w:ascii="Times New Roman" w:hAnsi="Times New Roman" w:cs="Times New Roman"/>
          <w:b/>
          <w:sz w:val="24"/>
          <w:szCs w:val="24"/>
        </w:rPr>
      </w:pPr>
    </w:p>
    <w:p w:rsidR="00080045" w:rsidRDefault="00080045" w:rsidP="000700C2">
      <w:pPr>
        <w:pStyle w:val="ListParagraph"/>
        <w:spacing w:after="0" w:line="240" w:lineRule="auto"/>
        <w:ind w:left="990" w:hanging="540"/>
        <w:contextualSpacing/>
        <w:jc w:val="both"/>
        <w:rPr>
          <w:rFonts w:ascii="Times New Roman" w:hAnsi="Times New Roman" w:cs="Times New Roman"/>
          <w:b/>
          <w:sz w:val="24"/>
          <w:szCs w:val="24"/>
        </w:rPr>
      </w:pPr>
    </w:p>
    <w:p w:rsidR="00AA55F7" w:rsidRDefault="00AA55F7" w:rsidP="0038700B">
      <w:pPr>
        <w:spacing w:after="0" w:line="240" w:lineRule="auto"/>
        <w:rPr>
          <w:rFonts w:ascii="Times New Roman" w:hAnsi="Times New Roman" w:cs="Times New Roman"/>
          <w:sz w:val="24"/>
          <w:szCs w:val="24"/>
        </w:rPr>
      </w:pPr>
    </w:p>
    <w:p w:rsidR="0038700B" w:rsidRDefault="0038700B" w:rsidP="0038700B">
      <w:pPr>
        <w:spacing w:after="0" w:line="240" w:lineRule="auto"/>
        <w:rPr>
          <w:rFonts w:ascii="Times New Roman" w:hAnsi="Times New Roman" w:cs="Times New Roman"/>
          <w:b/>
          <w:sz w:val="24"/>
          <w:szCs w:val="24"/>
        </w:rPr>
      </w:pPr>
    </w:p>
    <w:p w:rsidR="0038700B" w:rsidRDefault="0038700B" w:rsidP="0038700B">
      <w:pPr>
        <w:spacing w:after="0" w:line="240" w:lineRule="auto"/>
        <w:rPr>
          <w:rFonts w:ascii="Times New Roman" w:hAnsi="Times New Roman" w:cs="Times New Roman"/>
          <w:b/>
          <w:sz w:val="24"/>
          <w:szCs w:val="24"/>
        </w:rPr>
      </w:pPr>
      <w:r>
        <w:rPr>
          <w:rFonts w:ascii="Times New Roman" w:hAnsi="Times New Roman" w:cs="Times New Roman"/>
          <w:b/>
          <w:sz w:val="24"/>
          <w:szCs w:val="24"/>
        </w:rPr>
        <w:t>Maintenance of bank account in non-authorized government depository bank</w:t>
      </w:r>
    </w:p>
    <w:p w:rsidR="0038700B" w:rsidRPr="0038700B" w:rsidRDefault="0038700B" w:rsidP="0038700B">
      <w:pPr>
        <w:spacing w:after="0" w:line="240" w:lineRule="auto"/>
        <w:rPr>
          <w:rFonts w:ascii="Times New Roman" w:hAnsi="Times New Roman" w:cs="Times New Roman"/>
          <w:b/>
          <w:sz w:val="24"/>
          <w:szCs w:val="24"/>
        </w:rPr>
      </w:pPr>
    </w:p>
    <w:p w:rsidR="00B21032" w:rsidRDefault="0038700B" w:rsidP="00E6679B">
      <w:pPr>
        <w:pStyle w:val="ListParagraph"/>
        <w:numPr>
          <w:ilvl w:val="0"/>
          <w:numId w:val="2"/>
        </w:numPr>
        <w:spacing w:line="240" w:lineRule="auto"/>
        <w:ind w:left="450" w:hanging="450"/>
        <w:contextualSpacing/>
        <w:jc w:val="both"/>
        <w:rPr>
          <w:rFonts w:ascii="Times New Roman" w:hAnsi="Times New Roman" w:cs="Times New Roman"/>
          <w:b/>
          <w:sz w:val="24"/>
          <w:szCs w:val="24"/>
        </w:rPr>
      </w:pPr>
      <w:r w:rsidRPr="0038700B">
        <w:rPr>
          <w:rFonts w:ascii="Times New Roman" w:hAnsi="Times New Roman" w:cs="Times New Roman"/>
          <w:b/>
          <w:sz w:val="24"/>
          <w:szCs w:val="24"/>
        </w:rPr>
        <w:t xml:space="preserve">The SET continue to maintain a current account with the Philippine National Bank (PNB), a private bank, with a book balance of </w:t>
      </w:r>
      <w:r w:rsidRPr="0038700B">
        <w:rPr>
          <w:rFonts w:ascii="Times New Roman" w:hAnsi="Times New Roman" w:cs="Times New Roman"/>
          <w:b/>
          <w:dstrike/>
          <w:sz w:val="24"/>
          <w:szCs w:val="24"/>
        </w:rPr>
        <w:t>P</w:t>
      </w:r>
      <w:r w:rsidRPr="0038700B">
        <w:rPr>
          <w:rFonts w:ascii="Times New Roman" w:hAnsi="Times New Roman" w:cs="Times New Roman"/>
          <w:b/>
          <w:sz w:val="24"/>
          <w:szCs w:val="24"/>
        </w:rPr>
        <w:t>1</w:t>
      </w:r>
      <w:r w:rsidR="00AA55F7">
        <w:rPr>
          <w:rFonts w:ascii="Times New Roman" w:hAnsi="Times New Roman" w:cs="Times New Roman"/>
          <w:b/>
          <w:sz w:val="24"/>
          <w:szCs w:val="24"/>
        </w:rPr>
        <w:t>.</w:t>
      </w:r>
      <w:r w:rsidRPr="0038700B">
        <w:rPr>
          <w:rFonts w:ascii="Times New Roman" w:hAnsi="Times New Roman" w:cs="Times New Roman"/>
          <w:b/>
          <w:sz w:val="24"/>
          <w:szCs w:val="24"/>
        </w:rPr>
        <w:t>6</w:t>
      </w:r>
      <w:r w:rsidR="00AA55F7">
        <w:rPr>
          <w:rFonts w:ascii="Times New Roman" w:hAnsi="Times New Roman" w:cs="Times New Roman"/>
          <w:b/>
          <w:sz w:val="24"/>
          <w:szCs w:val="24"/>
        </w:rPr>
        <w:t>7 million</w:t>
      </w:r>
      <w:r w:rsidRPr="0038700B">
        <w:rPr>
          <w:rFonts w:ascii="Times New Roman" w:hAnsi="Times New Roman" w:cs="Times New Roman"/>
          <w:b/>
          <w:sz w:val="24"/>
          <w:szCs w:val="24"/>
        </w:rPr>
        <w:t xml:space="preserve"> as of December 31, 2016, despite the presence of government banks in the area, </w:t>
      </w:r>
      <w:r w:rsidR="00080045">
        <w:rPr>
          <w:rFonts w:ascii="Times New Roman" w:hAnsi="Times New Roman" w:cs="Times New Roman"/>
          <w:b/>
          <w:sz w:val="24"/>
          <w:szCs w:val="24"/>
        </w:rPr>
        <w:t>in violation of</w:t>
      </w:r>
      <w:r w:rsidRPr="0038700B">
        <w:rPr>
          <w:rFonts w:ascii="Times New Roman" w:hAnsi="Times New Roman" w:cs="Times New Roman"/>
          <w:b/>
          <w:sz w:val="24"/>
          <w:szCs w:val="24"/>
        </w:rPr>
        <w:t xml:space="preserve"> the Department of Finance (DOF) Department Circular No. 001-2015 dated June 1, 2015.</w:t>
      </w:r>
      <w:r w:rsidRPr="00B21032">
        <w:rPr>
          <w:rFonts w:ascii="Times New Roman" w:hAnsi="Times New Roman" w:cs="Times New Roman"/>
          <w:b/>
          <w:sz w:val="24"/>
          <w:szCs w:val="24"/>
        </w:rPr>
        <w:t xml:space="preserve"> </w:t>
      </w:r>
    </w:p>
    <w:p w:rsidR="0038700B" w:rsidRDefault="0038700B" w:rsidP="0038700B">
      <w:pPr>
        <w:pStyle w:val="ListParagraph"/>
        <w:spacing w:line="240" w:lineRule="auto"/>
        <w:ind w:left="450"/>
        <w:contextualSpacing/>
        <w:jc w:val="both"/>
        <w:rPr>
          <w:rFonts w:ascii="Times New Roman" w:hAnsi="Times New Roman" w:cs="Times New Roman"/>
          <w:b/>
          <w:sz w:val="24"/>
          <w:szCs w:val="24"/>
        </w:rPr>
      </w:pPr>
    </w:p>
    <w:p w:rsidR="00037E72" w:rsidRDefault="00037E72" w:rsidP="00352593">
      <w:pPr>
        <w:pStyle w:val="ListParagraph"/>
        <w:numPr>
          <w:ilvl w:val="1"/>
          <w:numId w:val="2"/>
        </w:numPr>
        <w:spacing w:after="0" w:line="240" w:lineRule="auto"/>
        <w:ind w:left="990" w:hanging="540"/>
        <w:contextualSpacing/>
        <w:jc w:val="both"/>
        <w:rPr>
          <w:rFonts w:ascii="Times New Roman" w:hAnsi="Times New Roman" w:cs="Times New Roman"/>
          <w:sz w:val="24"/>
          <w:szCs w:val="24"/>
        </w:rPr>
      </w:pPr>
      <w:r w:rsidRPr="000700C2">
        <w:rPr>
          <w:rFonts w:ascii="Times New Roman" w:hAnsi="Times New Roman" w:cs="Times New Roman"/>
          <w:sz w:val="24"/>
          <w:szCs w:val="24"/>
        </w:rPr>
        <w:t xml:space="preserve">Review and verification of the </w:t>
      </w:r>
      <w:r w:rsidRPr="00A4110D">
        <w:rPr>
          <w:rFonts w:ascii="Times New Roman" w:hAnsi="Times New Roman" w:cs="Times New Roman"/>
          <w:i/>
          <w:sz w:val="24"/>
          <w:szCs w:val="24"/>
        </w:rPr>
        <w:t>Cash in Bank –</w:t>
      </w:r>
      <w:r>
        <w:rPr>
          <w:rFonts w:ascii="Times New Roman" w:hAnsi="Times New Roman" w:cs="Times New Roman"/>
          <w:i/>
          <w:sz w:val="24"/>
          <w:szCs w:val="24"/>
        </w:rPr>
        <w:t xml:space="preserve"> </w:t>
      </w:r>
      <w:r w:rsidRPr="00A4110D">
        <w:rPr>
          <w:rFonts w:ascii="Times New Roman" w:hAnsi="Times New Roman" w:cs="Times New Roman"/>
          <w:i/>
          <w:sz w:val="24"/>
          <w:szCs w:val="24"/>
        </w:rPr>
        <w:t>LCCA</w:t>
      </w:r>
      <w:r w:rsidRPr="000700C2">
        <w:rPr>
          <w:rFonts w:ascii="Times New Roman" w:hAnsi="Times New Roman" w:cs="Times New Roman"/>
          <w:sz w:val="24"/>
          <w:szCs w:val="24"/>
        </w:rPr>
        <w:t xml:space="preserve"> account disclosed that the</w:t>
      </w:r>
      <w:r>
        <w:rPr>
          <w:rFonts w:ascii="Times New Roman" w:hAnsi="Times New Roman" w:cs="Times New Roman"/>
          <w:sz w:val="24"/>
          <w:szCs w:val="24"/>
        </w:rPr>
        <w:t xml:space="preserve"> agency maintains deposits with the PNB</w:t>
      </w:r>
      <w:r w:rsidRPr="000700C2">
        <w:rPr>
          <w:rFonts w:ascii="Times New Roman" w:hAnsi="Times New Roman" w:cs="Times New Roman"/>
          <w:sz w:val="24"/>
          <w:szCs w:val="24"/>
        </w:rPr>
        <w:t xml:space="preserve"> </w:t>
      </w:r>
      <w:r>
        <w:rPr>
          <w:rFonts w:ascii="Times New Roman" w:hAnsi="Times New Roman" w:cs="Times New Roman"/>
          <w:sz w:val="24"/>
          <w:szCs w:val="24"/>
        </w:rPr>
        <w:t xml:space="preserve">which has ceased to be an </w:t>
      </w:r>
      <w:r w:rsidRPr="000700C2">
        <w:rPr>
          <w:rFonts w:ascii="Times New Roman" w:hAnsi="Times New Roman" w:cs="Times New Roman"/>
          <w:sz w:val="24"/>
          <w:szCs w:val="24"/>
        </w:rPr>
        <w:t>authorized government depository bank (AGDB)</w:t>
      </w:r>
      <w:r w:rsidR="00CE0E5A">
        <w:rPr>
          <w:rFonts w:ascii="Times New Roman" w:hAnsi="Times New Roman" w:cs="Times New Roman"/>
          <w:sz w:val="24"/>
          <w:szCs w:val="24"/>
        </w:rPr>
        <w:t xml:space="preserve"> of the national </w:t>
      </w:r>
      <w:r w:rsidR="00CE0E5A" w:rsidRPr="000700C2">
        <w:rPr>
          <w:rFonts w:ascii="Times New Roman" w:hAnsi="Times New Roman" w:cs="Times New Roman"/>
          <w:sz w:val="24"/>
          <w:szCs w:val="24"/>
        </w:rPr>
        <w:t xml:space="preserve">government </w:t>
      </w:r>
      <w:r w:rsidR="00CE0E5A">
        <w:rPr>
          <w:rFonts w:ascii="Times New Roman" w:hAnsi="Times New Roman" w:cs="Times New Roman"/>
          <w:sz w:val="24"/>
          <w:szCs w:val="24"/>
        </w:rPr>
        <w:t>(NG)</w:t>
      </w:r>
      <w:r>
        <w:rPr>
          <w:rFonts w:ascii="Times New Roman" w:hAnsi="Times New Roman" w:cs="Times New Roman"/>
          <w:sz w:val="24"/>
          <w:szCs w:val="24"/>
        </w:rPr>
        <w:t>.</w:t>
      </w:r>
    </w:p>
    <w:p w:rsidR="00037E72" w:rsidRDefault="00037E72" w:rsidP="00352593">
      <w:pPr>
        <w:pStyle w:val="ListParagraph"/>
        <w:spacing w:after="0" w:line="240" w:lineRule="auto"/>
        <w:ind w:left="990"/>
        <w:contextualSpacing/>
        <w:jc w:val="both"/>
        <w:rPr>
          <w:rFonts w:ascii="Times New Roman" w:hAnsi="Times New Roman" w:cs="Times New Roman"/>
          <w:sz w:val="24"/>
          <w:szCs w:val="24"/>
        </w:rPr>
      </w:pPr>
    </w:p>
    <w:p w:rsidR="00A4110D" w:rsidRPr="007129C8" w:rsidRDefault="000700C2" w:rsidP="00352593">
      <w:pPr>
        <w:pStyle w:val="ListParagraph"/>
        <w:numPr>
          <w:ilvl w:val="1"/>
          <w:numId w:val="2"/>
        </w:numPr>
        <w:spacing w:after="0" w:line="240" w:lineRule="auto"/>
        <w:ind w:left="990" w:hanging="540"/>
        <w:contextualSpacing/>
        <w:jc w:val="both"/>
        <w:rPr>
          <w:b/>
          <w:sz w:val="20"/>
          <w:szCs w:val="20"/>
        </w:rPr>
      </w:pPr>
      <w:r w:rsidRPr="000700C2">
        <w:rPr>
          <w:rFonts w:ascii="Times New Roman" w:hAnsi="Times New Roman" w:cs="Times New Roman"/>
          <w:sz w:val="24"/>
          <w:szCs w:val="24"/>
        </w:rPr>
        <w:t xml:space="preserve">The subsidiary ledgers </w:t>
      </w:r>
      <w:r w:rsidR="00CE0E5A">
        <w:rPr>
          <w:rFonts w:ascii="Times New Roman" w:hAnsi="Times New Roman" w:cs="Times New Roman"/>
          <w:sz w:val="24"/>
          <w:szCs w:val="24"/>
        </w:rPr>
        <w:t>of the account</w:t>
      </w:r>
      <w:r w:rsidR="00FF7DCC">
        <w:rPr>
          <w:rFonts w:ascii="Times New Roman" w:hAnsi="Times New Roman" w:cs="Times New Roman"/>
          <w:sz w:val="24"/>
          <w:szCs w:val="24"/>
        </w:rPr>
        <w:t xml:space="preserve"> showed a total balance of </w:t>
      </w:r>
      <w:r w:rsidR="00FF7DCC" w:rsidRPr="00352593">
        <w:rPr>
          <w:rFonts w:ascii="Times New Roman" w:hAnsi="Times New Roman" w:cs="Times New Roman"/>
          <w:dstrike/>
          <w:sz w:val="24"/>
          <w:szCs w:val="24"/>
        </w:rPr>
        <w:t>P</w:t>
      </w:r>
      <w:r w:rsidR="00FF7DCC">
        <w:rPr>
          <w:rFonts w:ascii="Times New Roman" w:hAnsi="Times New Roman" w:cs="Times New Roman"/>
          <w:sz w:val="24"/>
          <w:szCs w:val="24"/>
        </w:rPr>
        <w:t xml:space="preserve">1,690,733.64 as of December 31, 2016. The cash balance of the account was deposited in Land Bank of the Philippines (LBP), an </w:t>
      </w:r>
      <w:r w:rsidR="00037E72">
        <w:rPr>
          <w:rFonts w:ascii="Times New Roman" w:hAnsi="Times New Roman" w:cs="Times New Roman"/>
          <w:sz w:val="24"/>
          <w:szCs w:val="24"/>
        </w:rPr>
        <w:t>AGDB</w:t>
      </w:r>
      <w:r w:rsidR="00655C71">
        <w:rPr>
          <w:rFonts w:ascii="Times New Roman" w:hAnsi="Times New Roman" w:cs="Times New Roman"/>
          <w:sz w:val="24"/>
          <w:szCs w:val="24"/>
        </w:rPr>
        <w:t xml:space="preserve">, and PNB, a private bank in the amounts of </w:t>
      </w:r>
      <w:r w:rsidR="00655C71" w:rsidRPr="00352593">
        <w:rPr>
          <w:rFonts w:ascii="Times New Roman" w:hAnsi="Times New Roman" w:cs="Times New Roman"/>
          <w:dstrike/>
          <w:sz w:val="24"/>
          <w:szCs w:val="24"/>
        </w:rPr>
        <w:t>P</w:t>
      </w:r>
      <w:r w:rsidR="00655C71">
        <w:rPr>
          <w:rFonts w:ascii="Times New Roman" w:hAnsi="Times New Roman" w:cs="Times New Roman"/>
          <w:sz w:val="24"/>
          <w:szCs w:val="24"/>
        </w:rPr>
        <w:t xml:space="preserve">20,000.00 and </w:t>
      </w:r>
      <w:r w:rsidR="00655C71" w:rsidRPr="00352593">
        <w:rPr>
          <w:rFonts w:ascii="Times New Roman" w:hAnsi="Times New Roman" w:cs="Times New Roman"/>
          <w:dstrike/>
          <w:sz w:val="24"/>
          <w:szCs w:val="24"/>
        </w:rPr>
        <w:t>P</w:t>
      </w:r>
      <w:r w:rsidR="00655C71">
        <w:rPr>
          <w:rFonts w:ascii="Times New Roman" w:hAnsi="Times New Roman" w:cs="Times New Roman"/>
          <w:sz w:val="24"/>
          <w:szCs w:val="24"/>
        </w:rPr>
        <w:t>1,670,733.64, respectively.</w:t>
      </w:r>
    </w:p>
    <w:p w:rsidR="000700C2" w:rsidRDefault="000700C2" w:rsidP="000700C2">
      <w:pPr>
        <w:pStyle w:val="ListParagraph"/>
        <w:spacing w:after="0" w:line="240" w:lineRule="auto"/>
        <w:ind w:left="990"/>
        <w:contextualSpacing/>
        <w:jc w:val="both"/>
        <w:rPr>
          <w:rFonts w:ascii="Times New Roman" w:hAnsi="Times New Roman" w:cs="Times New Roman"/>
          <w:sz w:val="24"/>
          <w:szCs w:val="24"/>
        </w:rPr>
      </w:pPr>
    </w:p>
    <w:p w:rsidR="000700C2" w:rsidRDefault="00655C71" w:rsidP="0038700B">
      <w:pPr>
        <w:pStyle w:val="ListParagraph"/>
        <w:numPr>
          <w:ilvl w:val="1"/>
          <w:numId w:val="2"/>
        </w:numPr>
        <w:spacing w:after="0" w:line="240" w:lineRule="auto"/>
        <w:ind w:left="990" w:hanging="540"/>
        <w:contextualSpacing/>
        <w:jc w:val="both"/>
        <w:rPr>
          <w:rFonts w:ascii="Times New Roman" w:hAnsi="Times New Roman" w:cs="Times New Roman"/>
          <w:sz w:val="24"/>
          <w:szCs w:val="24"/>
        </w:rPr>
      </w:pPr>
      <w:r>
        <w:rPr>
          <w:rFonts w:ascii="Times New Roman" w:hAnsi="Times New Roman" w:cs="Times New Roman"/>
          <w:sz w:val="24"/>
          <w:szCs w:val="24"/>
        </w:rPr>
        <w:t>The current</w:t>
      </w:r>
      <w:r w:rsidR="000700C2" w:rsidRPr="000700C2">
        <w:rPr>
          <w:rFonts w:ascii="Times New Roman" w:hAnsi="Times New Roman" w:cs="Times New Roman"/>
          <w:sz w:val="24"/>
          <w:szCs w:val="24"/>
        </w:rPr>
        <w:t xml:space="preserve"> account</w:t>
      </w:r>
      <w:r w:rsidR="000C6150">
        <w:rPr>
          <w:rFonts w:ascii="Times New Roman" w:hAnsi="Times New Roman" w:cs="Times New Roman"/>
          <w:sz w:val="24"/>
          <w:szCs w:val="24"/>
        </w:rPr>
        <w:t xml:space="preserve"> maintained by SET at</w:t>
      </w:r>
      <w:r w:rsidR="000700C2" w:rsidRPr="000700C2">
        <w:rPr>
          <w:rFonts w:ascii="Times New Roman" w:hAnsi="Times New Roman" w:cs="Times New Roman"/>
          <w:sz w:val="24"/>
          <w:szCs w:val="24"/>
        </w:rPr>
        <w:t xml:space="preserve"> PNB</w:t>
      </w:r>
      <w:r w:rsidR="000C6150">
        <w:rPr>
          <w:rFonts w:ascii="Times New Roman" w:hAnsi="Times New Roman" w:cs="Times New Roman"/>
          <w:sz w:val="24"/>
          <w:szCs w:val="24"/>
        </w:rPr>
        <w:t xml:space="preserve"> </w:t>
      </w:r>
      <w:r w:rsidR="000700C2" w:rsidRPr="000700C2">
        <w:rPr>
          <w:rFonts w:ascii="Times New Roman" w:hAnsi="Times New Roman" w:cs="Times New Roman"/>
          <w:sz w:val="24"/>
          <w:szCs w:val="24"/>
        </w:rPr>
        <w:t xml:space="preserve">COA Branch </w:t>
      </w:r>
      <w:r w:rsidR="000C6150">
        <w:rPr>
          <w:rFonts w:ascii="Times New Roman" w:hAnsi="Times New Roman" w:cs="Times New Roman"/>
          <w:sz w:val="24"/>
          <w:szCs w:val="24"/>
        </w:rPr>
        <w:t xml:space="preserve">is a trust receipt that came from deposits made by the Protestants and </w:t>
      </w:r>
      <w:r w:rsidR="00AA55F7">
        <w:rPr>
          <w:rFonts w:ascii="Times New Roman" w:hAnsi="Times New Roman" w:cs="Times New Roman"/>
          <w:sz w:val="24"/>
          <w:szCs w:val="24"/>
        </w:rPr>
        <w:t>Protestees who are parties to the</w:t>
      </w:r>
      <w:r w:rsidR="000C6150">
        <w:rPr>
          <w:rFonts w:ascii="Times New Roman" w:hAnsi="Times New Roman" w:cs="Times New Roman"/>
          <w:sz w:val="24"/>
          <w:szCs w:val="24"/>
        </w:rPr>
        <w:t xml:space="preserve"> electoral cases, which will be used for expenses incidental to adjudication of their cases.</w:t>
      </w:r>
      <w:r w:rsidR="000700C2" w:rsidRPr="000700C2">
        <w:rPr>
          <w:rFonts w:ascii="Times New Roman" w:hAnsi="Times New Roman" w:cs="Times New Roman"/>
          <w:sz w:val="24"/>
          <w:szCs w:val="24"/>
        </w:rPr>
        <w:t xml:space="preserve"> </w:t>
      </w:r>
      <w:r w:rsidR="00037E72">
        <w:rPr>
          <w:rFonts w:ascii="Times New Roman" w:hAnsi="Times New Roman" w:cs="Times New Roman"/>
          <w:sz w:val="24"/>
          <w:szCs w:val="24"/>
        </w:rPr>
        <w:t>T</w:t>
      </w:r>
      <w:r w:rsidR="000700C2" w:rsidRPr="000700C2">
        <w:rPr>
          <w:rFonts w:ascii="Times New Roman" w:hAnsi="Times New Roman" w:cs="Times New Roman"/>
          <w:sz w:val="24"/>
          <w:szCs w:val="24"/>
        </w:rPr>
        <w:t>he said account was opened by the agency in July 1992, when PNB was still</w:t>
      </w:r>
      <w:r w:rsidR="000C6150">
        <w:rPr>
          <w:rFonts w:ascii="Times New Roman" w:hAnsi="Times New Roman" w:cs="Times New Roman"/>
          <w:sz w:val="24"/>
          <w:szCs w:val="24"/>
        </w:rPr>
        <w:t xml:space="preserve"> the</w:t>
      </w:r>
      <w:r w:rsidR="000700C2" w:rsidRPr="000700C2">
        <w:rPr>
          <w:rFonts w:ascii="Times New Roman" w:hAnsi="Times New Roman" w:cs="Times New Roman"/>
          <w:sz w:val="24"/>
          <w:szCs w:val="24"/>
        </w:rPr>
        <w:t xml:space="preserve"> authorized depository bank of </w:t>
      </w:r>
      <w:r w:rsidR="000C6150">
        <w:rPr>
          <w:rFonts w:ascii="Times New Roman" w:hAnsi="Times New Roman" w:cs="Times New Roman"/>
          <w:sz w:val="24"/>
          <w:szCs w:val="24"/>
        </w:rPr>
        <w:t xml:space="preserve">the </w:t>
      </w:r>
      <w:r w:rsidR="00CE0E5A">
        <w:rPr>
          <w:rFonts w:ascii="Times New Roman" w:hAnsi="Times New Roman" w:cs="Times New Roman"/>
          <w:sz w:val="24"/>
          <w:szCs w:val="24"/>
        </w:rPr>
        <w:t>NG</w:t>
      </w:r>
      <w:r w:rsidR="000700C2" w:rsidRPr="000700C2">
        <w:rPr>
          <w:rFonts w:ascii="Times New Roman" w:hAnsi="Times New Roman" w:cs="Times New Roman"/>
          <w:sz w:val="24"/>
          <w:szCs w:val="24"/>
        </w:rPr>
        <w:t>.</w:t>
      </w:r>
    </w:p>
    <w:p w:rsidR="000700C2" w:rsidRDefault="000700C2" w:rsidP="000700C2">
      <w:pPr>
        <w:pStyle w:val="ListParagraph"/>
        <w:spacing w:after="0" w:line="240" w:lineRule="auto"/>
        <w:ind w:left="990"/>
        <w:contextualSpacing/>
        <w:jc w:val="both"/>
        <w:rPr>
          <w:rFonts w:ascii="Times New Roman" w:hAnsi="Times New Roman" w:cs="Times New Roman"/>
          <w:sz w:val="24"/>
          <w:szCs w:val="24"/>
        </w:rPr>
      </w:pPr>
    </w:p>
    <w:p w:rsidR="000700C2" w:rsidRDefault="000700C2" w:rsidP="000700C2">
      <w:pPr>
        <w:pStyle w:val="ListParagraph"/>
        <w:numPr>
          <w:ilvl w:val="1"/>
          <w:numId w:val="2"/>
        </w:numPr>
        <w:spacing w:after="0" w:line="240" w:lineRule="auto"/>
        <w:ind w:left="990" w:hanging="540"/>
        <w:contextualSpacing/>
        <w:jc w:val="both"/>
        <w:rPr>
          <w:rFonts w:ascii="Times New Roman" w:hAnsi="Times New Roman" w:cs="Times New Roman"/>
          <w:sz w:val="24"/>
          <w:szCs w:val="24"/>
        </w:rPr>
      </w:pPr>
      <w:r w:rsidRPr="000700C2">
        <w:rPr>
          <w:rFonts w:ascii="Times New Roman" w:hAnsi="Times New Roman" w:cs="Times New Roman"/>
          <w:sz w:val="24"/>
          <w:szCs w:val="24"/>
        </w:rPr>
        <w:t xml:space="preserve">Department Order No. 27-05 dated December 09, 2005 </w:t>
      </w:r>
      <w:r w:rsidR="009421A6">
        <w:rPr>
          <w:rFonts w:ascii="Times New Roman" w:hAnsi="Times New Roman" w:cs="Times New Roman"/>
          <w:sz w:val="24"/>
          <w:szCs w:val="24"/>
        </w:rPr>
        <w:t xml:space="preserve">issued </w:t>
      </w:r>
      <w:r w:rsidRPr="000700C2">
        <w:rPr>
          <w:rFonts w:ascii="Times New Roman" w:hAnsi="Times New Roman" w:cs="Times New Roman"/>
          <w:sz w:val="24"/>
          <w:szCs w:val="24"/>
        </w:rPr>
        <w:t>by DOF</w:t>
      </w:r>
      <w:r w:rsidR="00B36F67">
        <w:rPr>
          <w:rFonts w:ascii="Times New Roman" w:hAnsi="Times New Roman" w:cs="Times New Roman"/>
          <w:sz w:val="24"/>
          <w:szCs w:val="24"/>
        </w:rPr>
        <w:t xml:space="preserve"> granted</w:t>
      </w:r>
      <w:r w:rsidRPr="000700C2">
        <w:rPr>
          <w:rFonts w:ascii="Times New Roman" w:hAnsi="Times New Roman" w:cs="Times New Roman"/>
          <w:sz w:val="24"/>
          <w:szCs w:val="24"/>
        </w:rPr>
        <w:t xml:space="preserve"> </w:t>
      </w:r>
      <w:r w:rsidR="00B36F67">
        <w:rPr>
          <w:rFonts w:ascii="Times New Roman" w:hAnsi="Times New Roman" w:cs="Times New Roman"/>
          <w:sz w:val="24"/>
          <w:szCs w:val="24"/>
        </w:rPr>
        <w:t xml:space="preserve">PNB </w:t>
      </w:r>
      <w:r w:rsidRPr="000700C2">
        <w:rPr>
          <w:rFonts w:ascii="Times New Roman" w:hAnsi="Times New Roman" w:cs="Times New Roman"/>
          <w:sz w:val="24"/>
          <w:szCs w:val="24"/>
        </w:rPr>
        <w:t xml:space="preserve">the authority to accept government deposits </w:t>
      </w:r>
      <w:r w:rsidR="00B36F67">
        <w:rPr>
          <w:rFonts w:ascii="Times New Roman" w:hAnsi="Times New Roman" w:cs="Times New Roman"/>
          <w:sz w:val="24"/>
          <w:szCs w:val="24"/>
        </w:rPr>
        <w:t>until</w:t>
      </w:r>
      <w:r w:rsidRPr="000700C2">
        <w:rPr>
          <w:rFonts w:ascii="Times New Roman" w:hAnsi="Times New Roman" w:cs="Times New Roman"/>
          <w:sz w:val="24"/>
          <w:szCs w:val="24"/>
        </w:rPr>
        <w:t xml:space="preserve"> May 03, 2007 only. </w:t>
      </w:r>
      <w:r w:rsidR="00B36F67">
        <w:rPr>
          <w:rFonts w:ascii="Times New Roman" w:hAnsi="Times New Roman" w:cs="Times New Roman"/>
          <w:sz w:val="24"/>
          <w:szCs w:val="24"/>
        </w:rPr>
        <w:t>A</w:t>
      </w:r>
      <w:r w:rsidRPr="000700C2">
        <w:rPr>
          <w:rFonts w:ascii="Times New Roman" w:hAnsi="Times New Roman" w:cs="Times New Roman"/>
          <w:sz w:val="24"/>
          <w:szCs w:val="24"/>
        </w:rPr>
        <w:t>fter</w:t>
      </w:r>
      <w:r w:rsidR="00B36F67">
        <w:rPr>
          <w:rFonts w:ascii="Times New Roman" w:hAnsi="Times New Roman" w:cs="Times New Roman"/>
          <w:sz w:val="24"/>
          <w:szCs w:val="24"/>
        </w:rPr>
        <w:t xml:space="preserve"> the</w:t>
      </w:r>
      <w:r w:rsidRPr="000700C2">
        <w:rPr>
          <w:rFonts w:ascii="Times New Roman" w:hAnsi="Times New Roman" w:cs="Times New Roman"/>
          <w:sz w:val="24"/>
          <w:szCs w:val="24"/>
        </w:rPr>
        <w:t xml:space="preserve"> said date, PNB </w:t>
      </w:r>
      <w:r w:rsidR="00CE0E5A">
        <w:rPr>
          <w:rFonts w:ascii="Times New Roman" w:hAnsi="Times New Roman" w:cs="Times New Roman"/>
          <w:sz w:val="24"/>
          <w:szCs w:val="24"/>
        </w:rPr>
        <w:t xml:space="preserve">should </w:t>
      </w:r>
      <w:r w:rsidRPr="000700C2">
        <w:rPr>
          <w:rFonts w:ascii="Times New Roman" w:hAnsi="Times New Roman" w:cs="Times New Roman"/>
          <w:sz w:val="24"/>
          <w:szCs w:val="24"/>
        </w:rPr>
        <w:t>cease to be an AGDB</w:t>
      </w:r>
      <w:r w:rsidR="009421A6">
        <w:rPr>
          <w:rFonts w:ascii="Times New Roman" w:hAnsi="Times New Roman" w:cs="Times New Roman"/>
          <w:sz w:val="24"/>
          <w:szCs w:val="24"/>
        </w:rPr>
        <w:t xml:space="preserve"> of the NG</w:t>
      </w:r>
      <w:r w:rsidRPr="000700C2">
        <w:rPr>
          <w:rFonts w:ascii="Times New Roman" w:hAnsi="Times New Roman" w:cs="Times New Roman"/>
          <w:sz w:val="24"/>
          <w:szCs w:val="24"/>
        </w:rPr>
        <w:t>.</w:t>
      </w:r>
    </w:p>
    <w:p w:rsidR="000700C2" w:rsidRPr="000700C2" w:rsidRDefault="000700C2" w:rsidP="000700C2">
      <w:pPr>
        <w:spacing w:after="0" w:line="240" w:lineRule="auto"/>
        <w:contextualSpacing/>
        <w:jc w:val="both"/>
        <w:rPr>
          <w:rFonts w:ascii="Times New Roman" w:hAnsi="Times New Roman" w:cs="Times New Roman"/>
          <w:sz w:val="24"/>
          <w:szCs w:val="24"/>
        </w:rPr>
      </w:pPr>
    </w:p>
    <w:p w:rsidR="000700C2" w:rsidRDefault="000700C2" w:rsidP="000700C2">
      <w:pPr>
        <w:pStyle w:val="ListParagraph"/>
        <w:numPr>
          <w:ilvl w:val="1"/>
          <w:numId w:val="2"/>
        </w:numPr>
        <w:spacing w:after="0" w:line="240" w:lineRule="auto"/>
        <w:ind w:left="990" w:hanging="540"/>
        <w:contextualSpacing/>
        <w:jc w:val="both"/>
        <w:rPr>
          <w:rFonts w:ascii="Times New Roman" w:hAnsi="Times New Roman" w:cs="Times New Roman"/>
          <w:sz w:val="24"/>
          <w:szCs w:val="24"/>
        </w:rPr>
      </w:pPr>
      <w:r w:rsidRPr="000700C2">
        <w:rPr>
          <w:rFonts w:ascii="Times New Roman" w:hAnsi="Times New Roman" w:cs="Times New Roman"/>
          <w:sz w:val="24"/>
          <w:szCs w:val="24"/>
        </w:rPr>
        <w:t xml:space="preserve">Likewise, </w:t>
      </w:r>
      <w:r w:rsidR="00080045">
        <w:rPr>
          <w:rFonts w:ascii="Times New Roman" w:hAnsi="Times New Roman" w:cs="Times New Roman"/>
          <w:sz w:val="24"/>
          <w:szCs w:val="24"/>
        </w:rPr>
        <w:t xml:space="preserve">DOF issued </w:t>
      </w:r>
      <w:r w:rsidRPr="000700C2">
        <w:rPr>
          <w:rFonts w:ascii="Times New Roman" w:hAnsi="Times New Roman" w:cs="Times New Roman"/>
          <w:sz w:val="24"/>
          <w:szCs w:val="24"/>
        </w:rPr>
        <w:t>Department Circular No. 001-2015 dated June 01, 2015</w:t>
      </w:r>
      <w:r w:rsidR="00080045">
        <w:rPr>
          <w:rFonts w:ascii="Times New Roman" w:hAnsi="Times New Roman" w:cs="Times New Roman"/>
          <w:sz w:val="24"/>
          <w:szCs w:val="24"/>
        </w:rPr>
        <w:t xml:space="preserve"> </w:t>
      </w:r>
      <w:r w:rsidRPr="000700C2">
        <w:rPr>
          <w:rFonts w:ascii="Times New Roman" w:hAnsi="Times New Roman" w:cs="Times New Roman"/>
          <w:sz w:val="24"/>
          <w:szCs w:val="24"/>
        </w:rPr>
        <w:t xml:space="preserve">prescribing the revised guidelines on </w:t>
      </w:r>
      <w:r w:rsidR="00080045">
        <w:rPr>
          <w:rFonts w:ascii="Times New Roman" w:hAnsi="Times New Roman" w:cs="Times New Roman"/>
          <w:sz w:val="24"/>
          <w:szCs w:val="24"/>
        </w:rPr>
        <w:t>AGDB</w:t>
      </w:r>
      <w:r w:rsidRPr="000700C2">
        <w:rPr>
          <w:rFonts w:ascii="Times New Roman" w:hAnsi="Times New Roman" w:cs="Times New Roman"/>
          <w:sz w:val="24"/>
          <w:szCs w:val="24"/>
        </w:rPr>
        <w:t xml:space="preserve"> </w:t>
      </w:r>
      <w:r w:rsidR="00986BBE">
        <w:rPr>
          <w:rFonts w:ascii="Times New Roman" w:hAnsi="Times New Roman" w:cs="Times New Roman"/>
          <w:sz w:val="24"/>
          <w:szCs w:val="24"/>
        </w:rPr>
        <w:t>that covers</w:t>
      </w:r>
      <w:r w:rsidRPr="000700C2">
        <w:rPr>
          <w:rFonts w:ascii="Times New Roman" w:hAnsi="Times New Roman" w:cs="Times New Roman"/>
          <w:sz w:val="24"/>
          <w:szCs w:val="24"/>
        </w:rPr>
        <w:t xml:space="preserve"> all National Government Agencies (NGAs), Government-Owned or Controlled Corporations (GOCCs), and Local Government Units (LGUs)</w:t>
      </w:r>
      <w:r w:rsidR="00986BBE">
        <w:rPr>
          <w:rFonts w:ascii="Times New Roman" w:hAnsi="Times New Roman" w:cs="Times New Roman"/>
          <w:sz w:val="24"/>
          <w:szCs w:val="24"/>
        </w:rPr>
        <w:t xml:space="preserve">. For agencies </w:t>
      </w:r>
      <w:r w:rsidRPr="000700C2">
        <w:rPr>
          <w:rFonts w:ascii="Times New Roman" w:hAnsi="Times New Roman" w:cs="Times New Roman"/>
          <w:sz w:val="24"/>
          <w:szCs w:val="24"/>
        </w:rPr>
        <w:t>specifically allowed by law, rules, and regulations to retain income and/or for operations and/or working balances, the deposit of government funds by NGAs, GOCCs and LGUs is limited only to Government Financial Institutions (GFIs) with a universal bank license and a CAMELS rating of at least “3”.</w:t>
      </w:r>
    </w:p>
    <w:p w:rsidR="000700C2" w:rsidRPr="000700C2" w:rsidRDefault="000700C2" w:rsidP="000700C2">
      <w:pPr>
        <w:spacing w:after="0" w:line="240" w:lineRule="auto"/>
        <w:contextualSpacing/>
        <w:jc w:val="both"/>
        <w:rPr>
          <w:rFonts w:ascii="Times New Roman" w:hAnsi="Times New Roman" w:cs="Times New Roman"/>
          <w:sz w:val="24"/>
          <w:szCs w:val="24"/>
        </w:rPr>
      </w:pPr>
    </w:p>
    <w:p w:rsidR="000700C2" w:rsidRDefault="000700C2" w:rsidP="0038700B">
      <w:pPr>
        <w:pStyle w:val="ListParagraph"/>
        <w:numPr>
          <w:ilvl w:val="1"/>
          <w:numId w:val="2"/>
        </w:numPr>
        <w:spacing w:after="0" w:line="240" w:lineRule="auto"/>
        <w:ind w:left="990" w:hanging="540"/>
        <w:contextualSpacing/>
        <w:jc w:val="both"/>
        <w:rPr>
          <w:rFonts w:ascii="Times New Roman" w:hAnsi="Times New Roman" w:cs="Times New Roman"/>
          <w:sz w:val="24"/>
          <w:szCs w:val="24"/>
        </w:rPr>
      </w:pPr>
      <w:r w:rsidRPr="000700C2">
        <w:rPr>
          <w:rFonts w:ascii="Times New Roman" w:hAnsi="Times New Roman" w:cs="Times New Roman"/>
          <w:sz w:val="24"/>
          <w:szCs w:val="24"/>
        </w:rPr>
        <w:t xml:space="preserve">Furthermore, </w:t>
      </w:r>
      <w:r w:rsidR="00654730">
        <w:rPr>
          <w:rFonts w:ascii="Times New Roman" w:hAnsi="Times New Roman" w:cs="Times New Roman"/>
          <w:sz w:val="24"/>
          <w:szCs w:val="24"/>
        </w:rPr>
        <w:t xml:space="preserve">Section 5.4.2 of the same Department Circular provides that the NGA/GOCC/LGU may be allowed to maintain bank accounts with banks other than GFIs </w:t>
      </w:r>
      <w:r w:rsidR="00AA55F7">
        <w:rPr>
          <w:rFonts w:ascii="Times New Roman" w:hAnsi="Times New Roman" w:cs="Times New Roman"/>
          <w:sz w:val="24"/>
          <w:szCs w:val="24"/>
        </w:rPr>
        <w:t xml:space="preserve">when there are no accessible GFIs </w:t>
      </w:r>
      <w:r w:rsidR="00654730">
        <w:rPr>
          <w:rFonts w:ascii="Times New Roman" w:hAnsi="Times New Roman" w:cs="Times New Roman"/>
          <w:sz w:val="24"/>
          <w:szCs w:val="24"/>
        </w:rPr>
        <w:t>within the 20 kilometer radius in the area where the agency is located.</w:t>
      </w:r>
    </w:p>
    <w:p w:rsidR="000700C2" w:rsidRPr="000700C2" w:rsidRDefault="000700C2" w:rsidP="000700C2">
      <w:pPr>
        <w:pStyle w:val="NoSpacing"/>
        <w:jc w:val="both"/>
        <w:rPr>
          <w:sz w:val="24"/>
          <w:szCs w:val="24"/>
        </w:rPr>
      </w:pPr>
    </w:p>
    <w:p w:rsidR="000700C2" w:rsidRDefault="009421A6" w:rsidP="0038700B">
      <w:pPr>
        <w:pStyle w:val="ListParagraph"/>
        <w:numPr>
          <w:ilvl w:val="1"/>
          <w:numId w:val="2"/>
        </w:numPr>
        <w:spacing w:after="0" w:line="240" w:lineRule="auto"/>
        <w:ind w:left="990" w:hanging="540"/>
        <w:contextualSpacing/>
        <w:jc w:val="both"/>
        <w:rPr>
          <w:rFonts w:ascii="Times New Roman" w:hAnsi="Times New Roman" w:cs="Times New Roman"/>
          <w:sz w:val="24"/>
          <w:szCs w:val="24"/>
        </w:rPr>
      </w:pPr>
      <w:r>
        <w:rPr>
          <w:rFonts w:ascii="Times New Roman" w:hAnsi="Times New Roman" w:cs="Times New Roman"/>
          <w:sz w:val="24"/>
          <w:szCs w:val="24"/>
        </w:rPr>
        <w:t>Considering that the SET is maintaining its General Fund account with the LBP COA Branch</w:t>
      </w:r>
      <w:r w:rsidR="00B36F67">
        <w:rPr>
          <w:rFonts w:ascii="Times New Roman" w:hAnsi="Times New Roman" w:cs="Times New Roman"/>
          <w:sz w:val="24"/>
          <w:szCs w:val="24"/>
        </w:rPr>
        <w:t>,</w:t>
      </w:r>
      <w:r>
        <w:rPr>
          <w:rFonts w:ascii="Times New Roman" w:hAnsi="Times New Roman" w:cs="Times New Roman"/>
          <w:sz w:val="24"/>
          <w:szCs w:val="24"/>
        </w:rPr>
        <w:t xml:space="preserve"> which is located within its vicinity, all other accounts of SET should be transferred to the same AGDB.</w:t>
      </w:r>
    </w:p>
    <w:p w:rsidR="000700C2" w:rsidRDefault="000700C2" w:rsidP="000700C2">
      <w:pPr>
        <w:pStyle w:val="ListParagraph"/>
        <w:spacing w:after="0" w:line="240" w:lineRule="auto"/>
        <w:ind w:left="990"/>
        <w:contextualSpacing/>
        <w:jc w:val="both"/>
        <w:rPr>
          <w:rFonts w:ascii="Times New Roman" w:hAnsi="Times New Roman" w:cs="Times New Roman"/>
          <w:sz w:val="24"/>
          <w:szCs w:val="24"/>
        </w:rPr>
      </w:pPr>
    </w:p>
    <w:p w:rsidR="000700C2" w:rsidRDefault="000700C2" w:rsidP="000700C2">
      <w:pPr>
        <w:pStyle w:val="ListParagraph"/>
        <w:spacing w:after="0" w:line="240" w:lineRule="auto"/>
        <w:ind w:left="990" w:hanging="54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5A1262">
        <w:rPr>
          <w:rFonts w:ascii="Times New Roman" w:hAnsi="Times New Roman" w:cs="Times New Roman"/>
          <w:b/>
          <w:sz w:val="24"/>
          <w:szCs w:val="24"/>
        </w:rPr>
        <w:t>8</w:t>
      </w:r>
      <w:r>
        <w:rPr>
          <w:rFonts w:ascii="Times New Roman" w:hAnsi="Times New Roman" w:cs="Times New Roman"/>
          <w:b/>
          <w:sz w:val="24"/>
          <w:szCs w:val="24"/>
        </w:rPr>
        <w:tab/>
      </w:r>
      <w:r w:rsidRPr="000700C2">
        <w:rPr>
          <w:rFonts w:ascii="Times New Roman" w:hAnsi="Times New Roman" w:cs="Times New Roman"/>
          <w:b/>
          <w:sz w:val="24"/>
          <w:szCs w:val="24"/>
        </w:rPr>
        <w:t>We recommended and Management agreed to immediately close the account being maintained with PNB</w:t>
      </w:r>
      <w:r w:rsidR="000C6150">
        <w:rPr>
          <w:rFonts w:ascii="Times New Roman" w:hAnsi="Times New Roman" w:cs="Times New Roman"/>
          <w:b/>
          <w:sz w:val="24"/>
          <w:szCs w:val="24"/>
        </w:rPr>
        <w:t xml:space="preserve"> </w:t>
      </w:r>
      <w:r w:rsidRPr="000700C2">
        <w:rPr>
          <w:rFonts w:ascii="Times New Roman" w:hAnsi="Times New Roman" w:cs="Times New Roman"/>
          <w:b/>
          <w:sz w:val="24"/>
          <w:szCs w:val="24"/>
        </w:rPr>
        <w:t>COA Branch and transfer the balance to LBP</w:t>
      </w:r>
      <w:r w:rsidR="000C6150">
        <w:rPr>
          <w:rFonts w:ascii="Times New Roman" w:hAnsi="Times New Roman" w:cs="Times New Roman"/>
          <w:b/>
          <w:sz w:val="24"/>
          <w:szCs w:val="24"/>
        </w:rPr>
        <w:t xml:space="preserve"> </w:t>
      </w:r>
      <w:r w:rsidRPr="000700C2">
        <w:rPr>
          <w:rFonts w:ascii="Times New Roman" w:hAnsi="Times New Roman" w:cs="Times New Roman"/>
          <w:b/>
          <w:sz w:val="24"/>
          <w:szCs w:val="24"/>
        </w:rPr>
        <w:t>COA Branch, in compliance with the provisions of DOF Department Circular No. 001-2015 dated June 1, 2015.</w:t>
      </w:r>
    </w:p>
    <w:p w:rsidR="000700C2" w:rsidRPr="000700C2" w:rsidRDefault="000700C2" w:rsidP="000700C2">
      <w:pPr>
        <w:spacing w:after="0" w:line="240" w:lineRule="auto"/>
        <w:contextualSpacing/>
        <w:jc w:val="both"/>
        <w:rPr>
          <w:rFonts w:ascii="Times New Roman" w:hAnsi="Times New Roman" w:cs="Times New Roman"/>
          <w:b/>
          <w:sz w:val="24"/>
          <w:szCs w:val="24"/>
        </w:rPr>
      </w:pPr>
    </w:p>
    <w:p w:rsidR="0038700B" w:rsidRDefault="0038700B" w:rsidP="00B9700E">
      <w:pPr>
        <w:spacing w:line="240" w:lineRule="auto"/>
        <w:contextualSpacing/>
        <w:jc w:val="both"/>
        <w:rPr>
          <w:rFonts w:ascii="Times New Roman" w:hAnsi="Times New Roman" w:cs="Times New Roman"/>
          <w:b/>
          <w:sz w:val="24"/>
          <w:szCs w:val="24"/>
        </w:rPr>
      </w:pPr>
    </w:p>
    <w:p w:rsidR="00B9700E" w:rsidRPr="00B9700E" w:rsidRDefault="007129C8" w:rsidP="00B9700E">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Overstated </w:t>
      </w:r>
      <w:r w:rsidRPr="007129C8">
        <w:rPr>
          <w:rFonts w:ascii="Times New Roman" w:hAnsi="Times New Roman" w:cs="Times New Roman"/>
          <w:b/>
          <w:i/>
          <w:sz w:val="24"/>
          <w:szCs w:val="24"/>
        </w:rPr>
        <w:t>Insurance Expenses</w:t>
      </w:r>
      <w:r>
        <w:rPr>
          <w:rFonts w:ascii="Times New Roman" w:hAnsi="Times New Roman" w:cs="Times New Roman"/>
          <w:b/>
          <w:sz w:val="24"/>
          <w:szCs w:val="24"/>
        </w:rPr>
        <w:t xml:space="preserve"> – </w:t>
      </w:r>
      <w:r w:rsidRPr="007129C8">
        <w:rPr>
          <w:rFonts w:ascii="Times New Roman Bold" w:hAnsi="Times New Roman Bold" w:cs="Times New Roman"/>
          <w:b/>
          <w:dstrike/>
          <w:sz w:val="24"/>
          <w:szCs w:val="24"/>
        </w:rPr>
        <w:t>P</w:t>
      </w:r>
      <w:r w:rsidRPr="007129C8">
        <w:rPr>
          <w:rFonts w:ascii="Times New Roman" w:hAnsi="Times New Roman" w:cs="Times New Roman"/>
          <w:b/>
          <w:sz w:val="24"/>
          <w:szCs w:val="24"/>
        </w:rPr>
        <w:t>18,305.28</w:t>
      </w:r>
    </w:p>
    <w:p w:rsidR="006572C4" w:rsidRDefault="00B9700E" w:rsidP="00E6679B">
      <w:pPr>
        <w:pStyle w:val="ListParagraph"/>
        <w:numPr>
          <w:ilvl w:val="0"/>
          <w:numId w:val="2"/>
        </w:numPr>
        <w:spacing w:after="0" w:line="240" w:lineRule="auto"/>
        <w:ind w:left="450" w:hanging="450"/>
        <w:contextualSpacing/>
        <w:jc w:val="both"/>
        <w:rPr>
          <w:rFonts w:ascii="Times New Roman" w:hAnsi="Times New Roman" w:cs="Times New Roman"/>
          <w:b/>
          <w:sz w:val="24"/>
          <w:szCs w:val="24"/>
        </w:rPr>
      </w:pPr>
      <w:r w:rsidRPr="00B9700E">
        <w:rPr>
          <w:rFonts w:ascii="Times New Roman" w:hAnsi="Times New Roman" w:cs="Times New Roman"/>
          <w:b/>
          <w:sz w:val="24"/>
          <w:szCs w:val="24"/>
        </w:rPr>
        <w:t xml:space="preserve">The </w:t>
      </w:r>
      <w:r w:rsidRPr="00B9700E">
        <w:rPr>
          <w:rFonts w:ascii="Times New Roman" w:hAnsi="Times New Roman" w:cs="Times New Roman"/>
          <w:b/>
          <w:i/>
          <w:sz w:val="24"/>
          <w:szCs w:val="24"/>
        </w:rPr>
        <w:t>Insurance Expenses</w:t>
      </w:r>
      <w:r w:rsidRPr="00B9700E">
        <w:rPr>
          <w:rFonts w:ascii="Times New Roman" w:hAnsi="Times New Roman" w:cs="Times New Roman"/>
          <w:b/>
          <w:sz w:val="24"/>
          <w:szCs w:val="24"/>
        </w:rPr>
        <w:t xml:space="preserve"> account for the year ended December 31, 2016 is overstated </w:t>
      </w:r>
      <w:r w:rsidR="00095F11">
        <w:rPr>
          <w:rFonts w:ascii="Times New Roman" w:hAnsi="Times New Roman" w:cs="Times New Roman"/>
          <w:b/>
          <w:sz w:val="24"/>
          <w:szCs w:val="24"/>
        </w:rPr>
        <w:t xml:space="preserve">by </w:t>
      </w:r>
      <w:r w:rsidRPr="0069784A">
        <w:rPr>
          <w:rFonts w:ascii="Times New Roman Bold" w:hAnsi="Times New Roman Bold" w:cs="Times New Roman"/>
          <w:b/>
          <w:dstrike/>
          <w:sz w:val="24"/>
          <w:szCs w:val="24"/>
        </w:rPr>
        <w:t>P</w:t>
      </w:r>
      <w:r w:rsidRPr="00B9700E">
        <w:rPr>
          <w:rFonts w:ascii="Times New Roman" w:hAnsi="Times New Roman" w:cs="Times New Roman"/>
          <w:b/>
          <w:sz w:val="24"/>
          <w:szCs w:val="24"/>
        </w:rPr>
        <w:t>7,803.09</w:t>
      </w:r>
      <w:r w:rsidR="00095F11">
        <w:rPr>
          <w:rFonts w:ascii="Times New Roman" w:hAnsi="Times New Roman" w:cs="Times New Roman"/>
          <w:b/>
          <w:sz w:val="24"/>
          <w:szCs w:val="24"/>
        </w:rPr>
        <w:t xml:space="preserve"> </w:t>
      </w:r>
      <w:r w:rsidRPr="00B9700E">
        <w:rPr>
          <w:rFonts w:ascii="Times New Roman" w:hAnsi="Times New Roman" w:cs="Times New Roman"/>
          <w:b/>
          <w:sz w:val="24"/>
          <w:szCs w:val="24"/>
        </w:rPr>
        <w:t>represent</w:t>
      </w:r>
      <w:r w:rsidR="00095F11">
        <w:rPr>
          <w:rFonts w:ascii="Times New Roman" w:hAnsi="Times New Roman" w:cs="Times New Roman"/>
          <w:b/>
          <w:sz w:val="24"/>
          <w:szCs w:val="24"/>
        </w:rPr>
        <w:t>ing</w:t>
      </w:r>
      <w:r w:rsidRPr="00B9700E">
        <w:rPr>
          <w:rFonts w:ascii="Times New Roman" w:hAnsi="Times New Roman" w:cs="Times New Roman"/>
          <w:b/>
          <w:sz w:val="24"/>
          <w:szCs w:val="24"/>
        </w:rPr>
        <w:t xml:space="preserve"> the unexpired po</w:t>
      </w:r>
      <w:r w:rsidR="000B0188">
        <w:rPr>
          <w:rFonts w:ascii="Times New Roman" w:hAnsi="Times New Roman" w:cs="Times New Roman"/>
          <w:b/>
          <w:sz w:val="24"/>
          <w:szCs w:val="24"/>
        </w:rPr>
        <w:t>rtion of the insurance coverage</w:t>
      </w:r>
      <w:r w:rsidRPr="00B9700E">
        <w:rPr>
          <w:rFonts w:ascii="Times New Roman" w:hAnsi="Times New Roman" w:cs="Times New Roman"/>
          <w:b/>
          <w:sz w:val="24"/>
          <w:szCs w:val="24"/>
        </w:rPr>
        <w:t xml:space="preserve"> </w:t>
      </w:r>
      <w:r w:rsidR="00704982">
        <w:rPr>
          <w:rFonts w:ascii="Times New Roman" w:hAnsi="Times New Roman" w:cs="Times New Roman"/>
          <w:b/>
          <w:sz w:val="24"/>
          <w:szCs w:val="24"/>
        </w:rPr>
        <w:t>for</w:t>
      </w:r>
      <w:r w:rsidRPr="00B9700E">
        <w:rPr>
          <w:rFonts w:ascii="Times New Roman" w:hAnsi="Times New Roman" w:cs="Times New Roman"/>
          <w:b/>
          <w:sz w:val="24"/>
          <w:szCs w:val="24"/>
        </w:rPr>
        <w:t xml:space="preserve"> motor vehicle</w:t>
      </w:r>
      <w:r w:rsidR="00704982">
        <w:rPr>
          <w:rFonts w:ascii="Times New Roman" w:hAnsi="Times New Roman" w:cs="Times New Roman"/>
          <w:b/>
          <w:sz w:val="24"/>
          <w:szCs w:val="24"/>
        </w:rPr>
        <w:t xml:space="preserve">, </w:t>
      </w:r>
      <w:r w:rsidRPr="00B9700E">
        <w:rPr>
          <w:rFonts w:ascii="Times New Roman" w:hAnsi="Times New Roman" w:cs="Times New Roman"/>
          <w:b/>
          <w:sz w:val="24"/>
          <w:szCs w:val="24"/>
        </w:rPr>
        <w:t>property and equipment</w:t>
      </w:r>
      <w:r w:rsidR="00704982">
        <w:rPr>
          <w:rFonts w:ascii="Times New Roman" w:hAnsi="Times New Roman" w:cs="Times New Roman"/>
          <w:b/>
          <w:sz w:val="24"/>
          <w:szCs w:val="24"/>
        </w:rPr>
        <w:t xml:space="preserve"> </w:t>
      </w:r>
      <w:r w:rsidRPr="00B9700E">
        <w:rPr>
          <w:rFonts w:ascii="Times New Roman" w:hAnsi="Times New Roman" w:cs="Times New Roman"/>
          <w:b/>
          <w:sz w:val="24"/>
          <w:szCs w:val="24"/>
        </w:rPr>
        <w:t>initially recorded as</w:t>
      </w:r>
      <w:r w:rsidR="00704982">
        <w:rPr>
          <w:rFonts w:ascii="Times New Roman" w:hAnsi="Times New Roman" w:cs="Times New Roman"/>
          <w:b/>
          <w:sz w:val="24"/>
          <w:szCs w:val="24"/>
        </w:rPr>
        <w:t xml:space="preserve"> </w:t>
      </w:r>
      <w:r w:rsidRPr="00B9700E">
        <w:rPr>
          <w:rFonts w:ascii="Times New Roman" w:hAnsi="Times New Roman" w:cs="Times New Roman"/>
          <w:b/>
          <w:sz w:val="24"/>
          <w:szCs w:val="24"/>
        </w:rPr>
        <w:t xml:space="preserve">outright expenses. </w:t>
      </w:r>
    </w:p>
    <w:p w:rsidR="00B9700E" w:rsidRDefault="00B9700E" w:rsidP="00B9700E">
      <w:pPr>
        <w:pStyle w:val="ListParagraph"/>
        <w:spacing w:after="0" w:line="240" w:lineRule="auto"/>
        <w:ind w:left="450"/>
        <w:contextualSpacing/>
        <w:jc w:val="both"/>
        <w:rPr>
          <w:rFonts w:ascii="Times New Roman" w:hAnsi="Times New Roman" w:cs="Times New Roman"/>
          <w:b/>
          <w:sz w:val="24"/>
          <w:szCs w:val="24"/>
        </w:rPr>
      </w:pPr>
    </w:p>
    <w:p w:rsidR="00704982" w:rsidRDefault="00704982" w:rsidP="00704982">
      <w:pPr>
        <w:pStyle w:val="ListParagraph"/>
        <w:numPr>
          <w:ilvl w:val="1"/>
          <w:numId w:val="2"/>
        </w:numPr>
        <w:spacing w:after="0" w:line="240" w:lineRule="auto"/>
        <w:ind w:left="990" w:hanging="540"/>
        <w:contextualSpacing/>
        <w:jc w:val="both"/>
        <w:rPr>
          <w:rFonts w:ascii="Times New Roman" w:hAnsi="Times New Roman" w:cs="Times New Roman"/>
          <w:sz w:val="24"/>
          <w:szCs w:val="24"/>
        </w:rPr>
      </w:pPr>
      <w:r>
        <w:rPr>
          <w:rFonts w:ascii="Times New Roman" w:hAnsi="Times New Roman" w:cs="Times New Roman"/>
          <w:sz w:val="24"/>
          <w:szCs w:val="24"/>
        </w:rPr>
        <w:t>The outright recognition</w:t>
      </w:r>
      <w:r w:rsidR="00A91E4B">
        <w:rPr>
          <w:rFonts w:ascii="Times New Roman" w:hAnsi="Times New Roman" w:cs="Times New Roman"/>
          <w:sz w:val="24"/>
          <w:szCs w:val="24"/>
        </w:rPr>
        <w:t xml:space="preserve"> of the unexpired portion of the insurance coverage</w:t>
      </w:r>
      <w:r w:rsidR="00A91E4B" w:rsidRPr="00A91E4B">
        <w:rPr>
          <w:rFonts w:ascii="Times New Roman" w:hAnsi="Times New Roman" w:cs="Times New Roman"/>
          <w:sz w:val="24"/>
          <w:szCs w:val="24"/>
        </w:rPr>
        <w:t xml:space="preserve"> </w:t>
      </w:r>
      <w:r w:rsidR="00A91E4B" w:rsidRPr="00352593">
        <w:rPr>
          <w:rFonts w:ascii="Times New Roman" w:hAnsi="Times New Roman" w:cs="Times New Roman"/>
          <w:sz w:val="24"/>
          <w:szCs w:val="24"/>
        </w:rPr>
        <w:t>for motor vehicle, property and equipment</w:t>
      </w:r>
      <w:r w:rsidR="00A91E4B">
        <w:rPr>
          <w:rFonts w:ascii="Times New Roman" w:hAnsi="Times New Roman" w:cs="Times New Roman"/>
          <w:sz w:val="24"/>
          <w:szCs w:val="24"/>
        </w:rPr>
        <w:t xml:space="preserve"> as </w:t>
      </w:r>
      <w:r>
        <w:rPr>
          <w:rFonts w:ascii="Times New Roman" w:hAnsi="Times New Roman" w:cs="Times New Roman"/>
          <w:sz w:val="24"/>
          <w:szCs w:val="24"/>
        </w:rPr>
        <w:t xml:space="preserve">expense overstated the </w:t>
      </w:r>
      <w:r w:rsidRPr="0069784A">
        <w:rPr>
          <w:rFonts w:ascii="Times New Roman" w:hAnsi="Times New Roman" w:cs="Times New Roman"/>
          <w:i/>
          <w:sz w:val="24"/>
          <w:szCs w:val="24"/>
        </w:rPr>
        <w:t>Insurance Expenses</w:t>
      </w:r>
      <w:r w:rsidRPr="00E84496">
        <w:rPr>
          <w:rFonts w:ascii="Times New Roman" w:hAnsi="Times New Roman" w:cs="Times New Roman"/>
          <w:sz w:val="24"/>
          <w:szCs w:val="24"/>
        </w:rPr>
        <w:t xml:space="preserve"> </w:t>
      </w:r>
      <w:r>
        <w:rPr>
          <w:rFonts w:ascii="Times New Roman" w:hAnsi="Times New Roman" w:cs="Times New Roman"/>
          <w:sz w:val="24"/>
          <w:szCs w:val="24"/>
        </w:rPr>
        <w:t>account by</w:t>
      </w:r>
      <w:r w:rsidRPr="00E84496">
        <w:rPr>
          <w:rFonts w:ascii="Times New Roman" w:hAnsi="Times New Roman" w:cs="Times New Roman"/>
          <w:sz w:val="24"/>
          <w:szCs w:val="24"/>
        </w:rPr>
        <w:t xml:space="preserve"> </w:t>
      </w:r>
      <w:r w:rsidRPr="00E84496">
        <w:rPr>
          <w:rFonts w:ascii="Times New Roman" w:hAnsi="Times New Roman" w:cs="Times New Roman"/>
          <w:dstrike/>
          <w:sz w:val="24"/>
          <w:szCs w:val="24"/>
        </w:rPr>
        <w:t>P</w:t>
      </w:r>
      <w:r w:rsidRPr="00E84496">
        <w:rPr>
          <w:rFonts w:ascii="Times New Roman" w:hAnsi="Times New Roman" w:cs="Times New Roman"/>
          <w:sz w:val="24"/>
          <w:szCs w:val="24"/>
        </w:rPr>
        <w:t xml:space="preserve">7,803.09 </w:t>
      </w:r>
      <w:r>
        <w:rPr>
          <w:rFonts w:ascii="Times New Roman" w:hAnsi="Times New Roman" w:cs="Times New Roman"/>
          <w:sz w:val="24"/>
          <w:szCs w:val="24"/>
        </w:rPr>
        <w:t xml:space="preserve">and understated the </w:t>
      </w:r>
      <w:r w:rsidRPr="00352593">
        <w:rPr>
          <w:rFonts w:ascii="Times New Roman" w:hAnsi="Times New Roman" w:cs="Times New Roman"/>
          <w:i/>
          <w:sz w:val="24"/>
          <w:szCs w:val="24"/>
        </w:rPr>
        <w:t>Prepaid Insurance</w:t>
      </w:r>
      <w:r>
        <w:rPr>
          <w:rFonts w:ascii="Times New Roman" w:hAnsi="Times New Roman" w:cs="Times New Roman"/>
          <w:sz w:val="24"/>
          <w:szCs w:val="24"/>
        </w:rPr>
        <w:t xml:space="preserve"> account by the same amount. </w:t>
      </w:r>
    </w:p>
    <w:p w:rsidR="00704982" w:rsidRDefault="00704982" w:rsidP="00352593">
      <w:pPr>
        <w:pStyle w:val="ListParagraph"/>
        <w:spacing w:after="0" w:line="240" w:lineRule="auto"/>
        <w:ind w:left="990"/>
        <w:contextualSpacing/>
        <w:jc w:val="both"/>
        <w:rPr>
          <w:rFonts w:ascii="Times New Roman" w:hAnsi="Times New Roman" w:cs="Times New Roman"/>
          <w:sz w:val="24"/>
          <w:szCs w:val="24"/>
        </w:rPr>
      </w:pPr>
    </w:p>
    <w:p w:rsidR="00B9700E" w:rsidRDefault="00B9700E" w:rsidP="00B9700E">
      <w:pPr>
        <w:pStyle w:val="ListParagraph"/>
        <w:numPr>
          <w:ilvl w:val="1"/>
          <w:numId w:val="2"/>
        </w:numPr>
        <w:spacing w:after="0" w:line="240" w:lineRule="auto"/>
        <w:ind w:left="990" w:hanging="540"/>
        <w:contextualSpacing/>
        <w:jc w:val="both"/>
        <w:rPr>
          <w:rFonts w:ascii="Times New Roman" w:hAnsi="Times New Roman" w:cs="Times New Roman"/>
          <w:sz w:val="24"/>
          <w:szCs w:val="24"/>
        </w:rPr>
      </w:pPr>
      <w:r w:rsidRPr="00B9700E">
        <w:rPr>
          <w:rFonts w:ascii="Times New Roman" w:hAnsi="Times New Roman" w:cs="Times New Roman"/>
          <w:sz w:val="24"/>
          <w:szCs w:val="24"/>
        </w:rPr>
        <w:t>Paragraph 29</w:t>
      </w:r>
      <w:r w:rsidR="006C01D1">
        <w:rPr>
          <w:rFonts w:ascii="Times New Roman" w:hAnsi="Times New Roman" w:cs="Times New Roman"/>
          <w:sz w:val="24"/>
          <w:szCs w:val="24"/>
        </w:rPr>
        <w:t xml:space="preserve"> (b)</w:t>
      </w:r>
      <w:r w:rsidRPr="00B9700E">
        <w:rPr>
          <w:rFonts w:ascii="Times New Roman" w:hAnsi="Times New Roman" w:cs="Times New Roman"/>
          <w:sz w:val="24"/>
          <w:szCs w:val="24"/>
        </w:rPr>
        <w:t xml:space="preserve"> of the PPSAS 1 provides that:</w:t>
      </w:r>
    </w:p>
    <w:p w:rsidR="00E84496" w:rsidRDefault="00E84496" w:rsidP="00E84496">
      <w:pPr>
        <w:pStyle w:val="ListParagraph"/>
        <w:spacing w:after="0" w:line="240" w:lineRule="auto"/>
        <w:ind w:left="990"/>
        <w:contextualSpacing/>
        <w:jc w:val="both"/>
        <w:rPr>
          <w:rFonts w:ascii="Times New Roman" w:hAnsi="Times New Roman" w:cs="Times New Roman"/>
          <w:sz w:val="24"/>
          <w:szCs w:val="24"/>
        </w:rPr>
      </w:pPr>
    </w:p>
    <w:p w:rsidR="00E84496" w:rsidRPr="00352593" w:rsidRDefault="00E84496" w:rsidP="00E84496">
      <w:pPr>
        <w:pStyle w:val="ListParagraph"/>
        <w:spacing w:after="0" w:line="240" w:lineRule="auto"/>
        <w:ind w:left="1440" w:right="720"/>
        <w:contextualSpacing/>
        <w:jc w:val="both"/>
        <w:rPr>
          <w:rFonts w:ascii="Times New Roman" w:hAnsi="Times New Roman" w:cs="Times New Roman"/>
          <w:sz w:val="24"/>
          <w:szCs w:val="24"/>
        </w:rPr>
      </w:pPr>
      <w:r w:rsidRPr="00352593">
        <w:rPr>
          <w:rFonts w:ascii="Times New Roman" w:hAnsi="Times New Roman" w:cs="Times New Roman"/>
          <w:sz w:val="24"/>
          <w:szCs w:val="24"/>
        </w:rPr>
        <w:t>“A fair presentation also requires an entity:</w:t>
      </w:r>
    </w:p>
    <w:p w:rsidR="00E84496" w:rsidRPr="00352593" w:rsidRDefault="00E84496" w:rsidP="00E84496">
      <w:pPr>
        <w:pStyle w:val="ListParagraph"/>
        <w:spacing w:after="0" w:line="240" w:lineRule="auto"/>
        <w:ind w:left="1440" w:right="720"/>
        <w:contextualSpacing/>
        <w:jc w:val="both"/>
        <w:rPr>
          <w:rFonts w:ascii="Times New Roman" w:hAnsi="Times New Roman" w:cs="Times New Roman"/>
          <w:sz w:val="24"/>
          <w:szCs w:val="24"/>
        </w:rPr>
      </w:pPr>
    </w:p>
    <w:p w:rsidR="00B9700E" w:rsidRPr="00352593" w:rsidRDefault="00E84496" w:rsidP="00E84496">
      <w:pPr>
        <w:pStyle w:val="ListParagraph"/>
        <w:spacing w:after="0" w:line="240" w:lineRule="auto"/>
        <w:ind w:left="1440" w:right="720"/>
        <w:contextualSpacing/>
        <w:jc w:val="both"/>
        <w:rPr>
          <w:rFonts w:ascii="Times New Roman" w:hAnsi="Times New Roman" w:cs="Times New Roman"/>
          <w:sz w:val="24"/>
          <w:szCs w:val="24"/>
        </w:rPr>
      </w:pPr>
      <w:r w:rsidRPr="00352593">
        <w:rPr>
          <w:rFonts w:ascii="Times New Roman" w:hAnsi="Times New Roman" w:cs="Times New Roman"/>
          <w:sz w:val="24"/>
          <w:szCs w:val="24"/>
        </w:rPr>
        <w:t>(b)</w:t>
      </w:r>
      <w:r w:rsidR="00871EB7">
        <w:rPr>
          <w:rFonts w:ascii="Times New Roman" w:hAnsi="Times New Roman" w:cs="Times New Roman"/>
          <w:sz w:val="24"/>
          <w:szCs w:val="24"/>
        </w:rPr>
        <w:t xml:space="preserve">  </w:t>
      </w:r>
      <w:r w:rsidRPr="00352593">
        <w:rPr>
          <w:rFonts w:ascii="Times New Roman" w:hAnsi="Times New Roman" w:cs="Times New Roman"/>
          <w:sz w:val="24"/>
          <w:szCs w:val="24"/>
        </w:rPr>
        <w:t>To present information, including accounting policies, in a manner that provides relevant, reliable, comparable, and understandable information.”</w:t>
      </w:r>
    </w:p>
    <w:p w:rsidR="008849A5" w:rsidRPr="008849A5" w:rsidRDefault="008849A5" w:rsidP="00E84496">
      <w:pPr>
        <w:pStyle w:val="ListParagraph"/>
        <w:spacing w:after="0" w:line="240" w:lineRule="auto"/>
        <w:ind w:left="1440" w:right="720"/>
        <w:contextualSpacing/>
        <w:jc w:val="both"/>
        <w:rPr>
          <w:rFonts w:ascii="Times New Roman" w:hAnsi="Times New Roman" w:cs="Times New Roman"/>
          <w:sz w:val="24"/>
          <w:szCs w:val="24"/>
        </w:rPr>
      </w:pPr>
    </w:p>
    <w:p w:rsidR="00B9700E" w:rsidRDefault="00E84496" w:rsidP="00B9700E">
      <w:pPr>
        <w:pStyle w:val="ListParagraph"/>
        <w:numPr>
          <w:ilvl w:val="1"/>
          <w:numId w:val="2"/>
        </w:numPr>
        <w:spacing w:after="0" w:line="240" w:lineRule="auto"/>
        <w:ind w:left="990" w:hanging="540"/>
        <w:contextualSpacing/>
        <w:jc w:val="both"/>
        <w:rPr>
          <w:rFonts w:ascii="Times New Roman" w:hAnsi="Times New Roman" w:cs="Times New Roman"/>
          <w:sz w:val="24"/>
          <w:szCs w:val="24"/>
        </w:rPr>
      </w:pPr>
      <w:r w:rsidRPr="00E84496">
        <w:rPr>
          <w:rFonts w:ascii="Times New Roman" w:hAnsi="Times New Roman" w:cs="Times New Roman"/>
          <w:i/>
          <w:sz w:val="24"/>
          <w:szCs w:val="24"/>
        </w:rPr>
        <w:t>Prepaid Insurance</w:t>
      </w:r>
      <w:r w:rsidRPr="00E84496">
        <w:rPr>
          <w:rFonts w:ascii="Times New Roman" w:hAnsi="Times New Roman" w:cs="Times New Roman"/>
          <w:sz w:val="24"/>
          <w:szCs w:val="24"/>
        </w:rPr>
        <w:t xml:space="preserve"> account shall be used in recording the advance payment for insurance premiums of government properties and the same shall be credited for the expired portion at the end of each month. </w:t>
      </w:r>
    </w:p>
    <w:p w:rsidR="00E84496" w:rsidRDefault="00E84496" w:rsidP="00E84496">
      <w:pPr>
        <w:pStyle w:val="ListParagraph"/>
        <w:spacing w:after="0" w:line="240" w:lineRule="auto"/>
        <w:ind w:left="990"/>
        <w:contextualSpacing/>
        <w:jc w:val="both"/>
        <w:rPr>
          <w:rFonts w:ascii="Times New Roman" w:hAnsi="Times New Roman" w:cs="Times New Roman"/>
          <w:sz w:val="24"/>
          <w:szCs w:val="24"/>
        </w:rPr>
      </w:pPr>
    </w:p>
    <w:p w:rsidR="00E6679B" w:rsidRDefault="00E84496" w:rsidP="00E84496">
      <w:pPr>
        <w:pStyle w:val="ListParagraph"/>
        <w:numPr>
          <w:ilvl w:val="1"/>
          <w:numId w:val="2"/>
        </w:numPr>
        <w:spacing w:after="0" w:line="240" w:lineRule="auto"/>
        <w:ind w:left="990" w:hanging="540"/>
        <w:contextualSpacing/>
        <w:jc w:val="both"/>
        <w:rPr>
          <w:rFonts w:ascii="Times New Roman" w:hAnsi="Times New Roman" w:cs="Times New Roman"/>
          <w:sz w:val="24"/>
          <w:szCs w:val="24"/>
        </w:rPr>
      </w:pPr>
      <w:r w:rsidRPr="00E84496">
        <w:rPr>
          <w:rFonts w:ascii="Times New Roman" w:hAnsi="Times New Roman" w:cs="Times New Roman"/>
          <w:sz w:val="24"/>
          <w:szCs w:val="24"/>
        </w:rPr>
        <w:t xml:space="preserve">However, upon verification of the </w:t>
      </w:r>
      <w:r w:rsidR="00402F0D">
        <w:rPr>
          <w:rFonts w:ascii="Times New Roman" w:hAnsi="Times New Roman" w:cs="Times New Roman"/>
          <w:sz w:val="24"/>
          <w:szCs w:val="24"/>
        </w:rPr>
        <w:t>general</w:t>
      </w:r>
      <w:r w:rsidR="00B93BCF">
        <w:rPr>
          <w:rFonts w:ascii="Times New Roman" w:hAnsi="Times New Roman" w:cs="Times New Roman"/>
          <w:sz w:val="24"/>
          <w:szCs w:val="24"/>
        </w:rPr>
        <w:t xml:space="preserve"> ledger</w:t>
      </w:r>
      <w:r w:rsidR="00036426" w:rsidRPr="00036426">
        <w:rPr>
          <w:rFonts w:ascii="Times New Roman" w:hAnsi="Times New Roman" w:cs="Times New Roman"/>
          <w:sz w:val="24"/>
          <w:szCs w:val="24"/>
        </w:rPr>
        <w:t xml:space="preserve"> </w:t>
      </w:r>
      <w:r w:rsidR="00036426">
        <w:rPr>
          <w:rFonts w:ascii="Times New Roman" w:hAnsi="Times New Roman" w:cs="Times New Roman"/>
          <w:sz w:val="24"/>
          <w:szCs w:val="24"/>
        </w:rPr>
        <w:t xml:space="preserve">of the </w:t>
      </w:r>
      <w:r w:rsidR="00036426" w:rsidRPr="00916A9A">
        <w:rPr>
          <w:rFonts w:ascii="Times New Roman" w:hAnsi="Times New Roman" w:cs="Times New Roman"/>
          <w:i/>
          <w:sz w:val="24"/>
          <w:szCs w:val="24"/>
        </w:rPr>
        <w:t>Insurance Expenses</w:t>
      </w:r>
      <w:r w:rsidR="00036426">
        <w:rPr>
          <w:rFonts w:ascii="Times New Roman" w:hAnsi="Times New Roman" w:cs="Times New Roman"/>
          <w:sz w:val="24"/>
          <w:szCs w:val="24"/>
        </w:rPr>
        <w:t xml:space="preserve"> account</w:t>
      </w:r>
      <w:r w:rsidR="00402F0D">
        <w:rPr>
          <w:rFonts w:ascii="Times New Roman" w:hAnsi="Times New Roman" w:cs="Times New Roman"/>
          <w:sz w:val="24"/>
          <w:szCs w:val="24"/>
        </w:rPr>
        <w:t xml:space="preserve"> and</w:t>
      </w:r>
      <w:r w:rsidR="00036426">
        <w:rPr>
          <w:rFonts w:ascii="Times New Roman" w:hAnsi="Times New Roman" w:cs="Times New Roman"/>
          <w:sz w:val="24"/>
          <w:szCs w:val="24"/>
        </w:rPr>
        <w:t xml:space="preserve"> the related</w:t>
      </w:r>
      <w:r w:rsidR="00402F0D">
        <w:rPr>
          <w:rFonts w:ascii="Times New Roman" w:hAnsi="Times New Roman" w:cs="Times New Roman"/>
          <w:sz w:val="24"/>
          <w:szCs w:val="24"/>
        </w:rPr>
        <w:t xml:space="preserve"> journal entry vouchers</w:t>
      </w:r>
      <w:r w:rsidRPr="00E84496">
        <w:rPr>
          <w:rFonts w:ascii="Times New Roman" w:hAnsi="Times New Roman" w:cs="Times New Roman"/>
          <w:sz w:val="24"/>
          <w:szCs w:val="24"/>
        </w:rPr>
        <w:t xml:space="preserve">, we noted that the payment made for advance insurance was </w:t>
      </w:r>
      <w:r w:rsidR="00704982">
        <w:rPr>
          <w:rFonts w:ascii="Times New Roman" w:hAnsi="Times New Roman" w:cs="Times New Roman"/>
          <w:sz w:val="24"/>
          <w:szCs w:val="24"/>
        </w:rPr>
        <w:t>recognized</w:t>
      </w:r>
      <w:r w:rsidRPr="00E84496">
        <w:rPr>
          <w:rFonts w:ascii="Times New Roman" w:hAnsi="Times New Roman" w:cs="Times New Roman"/>
          <w:sz w:val="24"/>
          <w:szCs w:val="24"/>
        </w:rPr>
        <w:t xml:space="preserve"> as an outright expense</w:t>
      </w:r>
      <w:r w:rsidR="00C31357">
        <w:rPr>
          <w:rFonts w:ascii="Times New Roman" w:hAnsi="Times New Roman" w:cs="Times New Roman"/>
          <w:sz w:val="24"/>
          <w:szCs w:val="24"/>
        </w:rPr>
        <w:t>,</w:t>
      </w:r>
      <w:r w:rsidRPr="00E84496">
        <w:rPr>
          <w:rFonts w:ascii="Times New Roman" w:hAnsi="Times New Roman" w:cs="Times New Roman"/>
          <w:sz w:val="24"/>
          <w:szCs w:val="24"/>
        </w:rPr>
        <w:t xml:space="preserve"> as such</w:t>
      </w:r>
      <w:r w:rsidR="00704982">
        <w:rPr>
          <w:rFonts w:ascii="Times New Roman" w:hAnsi="Times New Roman" w:cs="Times New Roman"/>
          <w:sz w:val="24"/>
          <w:szCs w:val="24"/>
        </w:rPr>
        <w:t>,</w:t>
      </w:r>
      <w:r w:rsidRPr="00E84496">
        <w:rPr>
          <w:rFonts w:ascii="Times New Roman" w:hAnsi="Times New Roman" w:cs="Times New Roman"/>
          <w:sz w:val="24"/>
          <w:szCs w:val="24"/>
        </w:rPr>
        <w:t xml:space="preserve"> the amount corresponding to the unexpired portion was not properly </w:t>
      </w:r>
      <w:r w:rsidR="00704982">
        <w:rPr>
          <w:rFonts w:ascii="Times New Roman" w:hAnsi="Times New Roman" w:cs="Times New Roman"/>
          <w:sz w:val="24"/>
          <w:szCs w:val="24"/>
        </w:rPr>
        <w:t>recognized</w:t>
      </w:r>
      <w:r w:rsidRPr="00E84496">
        <w:rPr>
          <w:rFonts w:ascii="Times New Roman" w:hAnsi="Times New Roman" w:cs="Times New Roman"/>
          <w:sz w:val="24"/>
          <w:szCs w:val="24"/>
        </w:rPr>
        <w:t xml:space="preserve"> as prepayments</w:t>
      </w:r>
      <w:r w:rsidR="00704982">
        <w:rPr>
          <w:rFonts w:ascii="Times New Roman" w:hAnsi="Times New Roman" w:cs="Times New Roman"/>
          <w:sz w:val="24"/>
          <w:szCs w:val="24"/>
        </w:rPr>
        <w:t>, details are shown below:</w:t>
      </w:r>
    </w:p>
    <w:p w:rsidR="00E6679B" w:rsidRDefault="00E6679B" w:rsidP="00352593">
      <w:pPr>
        <w:pStyle w:val="ListParagraph"/>
        <w:spacing w:after="0" w:line="240" w:lineRule="auto"/>
        <w:ind w:left="990"/>
        <w:contextualSpacing/>
        <w:jc w:val="both"/>
        <w:rPr>
          <w:rFonts w:ascii="Times New Roman" w:hAnsi="Times New Roman" w:cs="Times New Roman"/>
          <w:sz w:val="24"/>
          <w:szCs w:val="24"/>
        </w:rPr>
      </w:pPr>
    </w:p>
    <w:tbl>
      <w:tblPr>
        <w:tblStyle w:val="TableGrid"/>
        <w:tblW w:w="819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1800"/>
        <w:gridCol w:w="1080"/>
        <w:gridCol w:w="1710"/>
      </w:tblGrid>
      <w:tr w:rsidR="00E6679B" w:rsidTr="00CE2DEF">
        <w:tc>
          <w:tcPr>
            <w:tcW w:w="2160" w:type="dxa"/>
            <w:tcBorders>
              <w:top w:val="single" w:sz="4" w:space="0" w:color="auto"/>
              <w:bottom w:val="single" w:sz="4" w:space="0" w:color="auto"/>
            </w:tcBorders>
            <w:vAlign w:val="center"/>
          </w:tcPr>
          <w:p w:rsidR="00E6679B" w:rsidRPr="00352593" w:rsidRDefault="00E6679B" w:rsidP="00662462">
            <w:pPr>
              <w:pStyle w:val="NoSpacing"/>
              <w:jc w:val="center"/>
              <w:rPr>
                <w:b/>
                <w:sz w:val="18"/>
                <w:szCs w:val="18"/>
              </w:rPr>
            </w:pPr>
            <w:r w:rsidRPr="00352593">
              <w:rPr>
                <w:b/>
                <w:sz w:val="18"/>
                <w:szCs w:val="18"/>
              </w:rPr>
              <w:t>Particulars</w:t>
            </w:r>
          </w:p>
        </w:tc>
        <w:tc>
          <w:tcPr>
            <w:tcW w:w="1440" w:type="dxa"/>
            <w:tcBorders>
              <w:top w:val="single" w:sz="4" w:space="0" w:color="auto"/>
              <w:bottom w:val="single" w:sz="4" w:space="0" w:color="auto"/>
            </w:tcBorders>
            <w:vAlign w:val="center"/>
          </w:tcPr>
          <w:p w:rsidR="00E6679B" w:rsidRPr="00352593" w:rsidRDefault="00E6679B" w:rsidP="00662462">
            <w:pPr>
              <w:pStyle w:val="NoSpacing"/>
              <w:jc w:val="center"/>
              <w:rPr>
                <w:b/>
                <w:sz w:val="18"/>
                <w:szCs w:val="18"/>
              </w:rPr>
            </w:pPr>
            <w:r w:rsidRPr="00352593">
              <w:rPr>
                <w:b/>
                <w:sz w:val="18"/>
                <w:szCs w:val="18"/>
              </w:rPr>
              <w:t>Period Covered</w:t>
            </w:r>
          </w:p>
        </w:tc>
        <w:tc>
          <w:tcPr>
            <w:tcW w:w="1800" w:type="dxa"/>
            <w:tcBorders>
              <w:top w:val="single" w:sz="4" w:space="0" w:color="auto"/>
              <w:bottom w:val="single" w:sz="4" w:space="0" w:color="auto"/>
            </w:tcBorders>
          </w:tcPr>
          <w:p w:rsidR="00E6679B" w:rsidRPr="00352593" w:rsidRDefault="00E6679B" w:rsidP="00662462">
            <w:pPr>
              <w:pStyle w:val="NoSpacing"/>
              <w:jc w:val="center"/>
              <w:rPr>
                <w:b/>
                <w:sz w:val="18"/>
                <w:szCs w:val="18"/>
              </w:rPr>
            </w:pPr>
            <w:r w:rsidRPr="00352593">
              <w:rPr>
                <w:b/>
                <w:sz w:val="18"/>
                <w:szCs w:val="18"/>
              </w:rPr>
              <w:t>Charged to Insurance Expense</w:t>
            </w:r>
            <w:r w:rsidR="00B93BCF">
              <w:rPr>
                <w:b/>
                <w:sz w:val="18"/>
                <w:szCs w:val="18"/>
              </w:rPr>
              <w:t>s</w:t>
            </w:r>
          </w:p>
        </w:tc>
        <w:tc>
          <w:tcPr>
            <w:tcW w:w="1080" w:type="dxa"/>
            <w:tcBorders>
              <w:top w:val="single" w:sz="4" w:space="0" w:color="auto"/>
              <w:bottom w:val="single" w:sz="4" w:space="0" w:color="auto"/>
            </w:tcBorders>
          </w:tcPr>
          <w:p w:rsidR="00E6679B" w:rsidRPr="00352593" w:rsidRDefault="00E6679B" w:rsidP="00E768C3">
            <w:pPr>
              <w:pStyle w:val="NoSpacing"/>
              <w:jc w:val="center"/>
              <w:rPr>
                <w:b/>
                <w:sz w:val="18"/>
                <w:szCs w:val="18"/>
              </w:rPr>
            </w:pPr>
            <w:r w:rsidRPr="00352593">
              <w:rPr>
                <w:b/>
                <w:sz w:val="18"/>
                <w:szCs w:val="18"/>
              </w:rPr>
              <w:t>Expired Portion</w:t>
            </w:r>
          </w:p>
        </w:tc>
        <w:tc>
          <w:tcPr>
            <w:tcW w:w="1710" w:type="dxa"/>
            <w:tcBorders>
              <w:top w:val="single" w:sz="4" w:space="0" w:color="auto"/>
              <w:bottom w:val="single" w:sz="4" w:space="0" w:color="auto"/>
            </w:tcBorders>
          </w:tcPr>
          <w:p w:rsidR="00E6679B" w:rsidRPr="00352593" w:rsidRDefault="00E6679B" w:rsidP="00E768C3">
            <w:pPr>
              <w:pStyle w:val="NoSpacing"/>
              <w:jc w:val="center"/>
              <w:rPr>
                <w:b/>
                <w:sz w:val="18"/>
                <w:szCs w:val="18"/>
              </w:rPr>
            </w:pPr>
            <w:r w:rsidRPr="00352593">
              <w:rPr>
                <w:b/>
                <w:sz w:val="18"/>
                <w:szCs w:val="18"/>
              </w:rPr>
              <w:t>Prepaid / Unexpired Portion</w:t>
            </w:r>
          </w:p>
        </w:tc>
      </w:tr>
      <w:tr w:rsidR="00E6679B" w:rsidTr="00CE2DEF">
        <w:tc>
          <w:tcPr>
            <w:tcW w:w="2160" w:type="dxa"/>
            <w:tcBorders>
              <w:top w:val="single" w:sz="4" w:space="0" w:color="auto"/>
            </w:tcBorders>
          </w:tcPr>
          <w:p w:rsidR="00E6679B" w:rsidRPr="00662462" w:rsidRDefault="00E6679B" w:rsidP="00E768C3">
            <w:pPr>
              <w:pStyle w:val="NoSpacing"/>
              <w:rPr>
                <w:sz w:val="18"/>
                <w:szCs w:val="18"/>
              </w:rPr>
            </w:pPr>
            <w:r w:rsidRPr="00662462">
              <w:rPr>
                <w:sz w:val="18"/>
                <w:szCs w:val="18"/>
              </w:rPr>
              <w:t>Insurance Premium-SET Property and Equipment</w:t>
            </w:r>
          </w:p>
        </w:tc>
        <w:tc>
          <w:tcPr>
            <w:tcW w:w="1440" w:type="dxa"/>
            <w:tcBorders>
              <w:top w:val="single" w:sz="4" w:space="0" w:color="auto"/>
            </w:tcBorders>
          </w:tcPr>
          <w:p w:rsidR="00E6679B" w:rsidRPr="00662462" w:rsidRDefault="00E6679B" w:rsidP="00E768C3">
            <w:pPr>
              <w:pStyle w:val="NoSpacing"/>
              <w:jc w:val="both"/>
              <w:rPr>
                <w:sz w:val="18"/>
                <w:szCs w:val="18"/>
              </w:rPr>
            </w:pPr>
          </w:p>
          <w:p w:rsidR="00E6679B" w:rsidRPr="00662462" w:rsidRDefault="00E6679B" w:rsidP="00E768C3">
            <w:pPr>
              <w:pStyle w:val="NoSpacing"/>
              <w:jc w:val="both"/>
              <w:rPr>
                <w:sz w:val="18"/>
                <w:szCs w:val="18"/>
              </w:rPr>
            </w:pPr>
            <w:r w:rsidRPr="00662462">
              <w:rPr>
                <w:sz w:val="18"/>
                <w:szCs w:val="18"/>
              </w:rPr>
              <w:t>3/19/16-3/19/17</w:t>
            </w:r>
          </w:p>
        </w:tc>
        <w:tc>
          <w:tcPr>
            <w:tcW w:w="1800" w:type="dxa"/>
            <w:tcBorders>
              <w:top w:val="single" w:sz="4" w:space="0" w:color="auto"/>
            </w:tcBorders>
          </w:tcPr>
          <w:p w:rsidR="00E6679B" w:rsidRPr="00662462" w:rsidRDefault="00E6679B" w:rsidP="00662462">
            <w:pPr>
              <w:pStyle w:val="NoSpacing"/>
              <w:jc w:val="right"/>
              <w:rPr>
                <w:sz w:val="18"/>
                <w:szCs w:val="18"/>
              </w:rPr>
            </w:pPr>
          </w:p>
          <w:p w:rsidR="00E6679B" w:rsidRPr="00662462" w:rsidRDefault="00CE2DEF" w:rsidP="00CE2DEF">
            <w:pPr>
              <w:pStyle w:val="NoSpacing"/>
              <w:jc w:val="center"/>
              <w:rPr>
                <w:sz w:val="18"/>
                <w:szCs w:val="18"/>
              </w:rPr>
            </w:pPr>
            <w:r>
              <w:rPr>
                <w:sz w:val="18"/>
                <w:szCs w:val="18"/>
              </w:rPr>
              <w:t xml:space="preserve">  </w:t>
            </w:r>
            <w:r w:rsidRPr="00662462">
              <w:rPr>
                <w:dstrike/>
                <w:sz w:val="18"/>
                <w:szCs w:val="18"/>
              </w:rPr>
              <w:t>P</w:t>
            </w:r>
            <w:r>
              <w:rPr>
                <w:sz w:val="18"/>
                <w:szCs w:val="18"/>
              </w:rPr>
              <w:t xml:space="preserve">  3</w:t>
            </w:r>
            <w:r w:rsidR="00E6679B" w:rsidRPr="00662462">
              <w:rPr>
                <w:sz w:val="18"/>
                <w:szCs w:val="18"/>
              </w:rPr>
              <w:t>,169.45</w:t>
            </w:r>
          </w:p>
        </w:tc>
        <w:tc>
          <w:tcPr>
            <w:tcW w:w="1080" w:type="dxa"/>
            <w:tcBorders>
              <w:top w:val="single" w:sz="4" w:space="0" w:color="auto"/>
            </w:tcBorders>
          </w:tcPr>
          <w:p w:rsidR="00E6679B" w:rsidRPr="00662462" w:rsidRDefault="00E6679B" w:rsidP="00662462">
            <w:pPr>
              <w:pStyle w:val="NoSpacing"/>
              <w:jc w:val="right"/>
              <w:rPr>
                <w:sz w:val="18"/>
                <w:szCs w:val="18"/>
              </w:rPr>
            </w:pPr>
          </w:p>
          <w:p w:rsidR="00E6679B" w:rsidRPr="00662462" w:rsidRDefault="00141ED1" w:rsidP="00662462">
            <w:pPr>
              <w:pStyle w:val="NoSpacing"/>
              <w:jc w:val="right"/>
              <w:rPr>
                <w:sz w:val="18"/>
                <w:szCs w:val="18"/>
              </w:rPr>
            </w:pPr>
            <w:r w:rsidRPr="00662462">
              <w:rPr>
                <w:dstrike/>
                <w:sz w:val="18"/>
                <w:szCs w:val="18"/>
              </w:rPr>
              <w:t>P</w:t>
            </w:r>
            <w:r w:rsidR="00CE2DEF">
              <w:rPr>
                <w:sz w:val="18"/>
                <w:szCs w:val="18"/>
              </w:rPr>
              <w:t xml:space="preserve"> 2</w:t>
            </w:r>
            <w:r w:rsidR="00E6679B" w:rsidRPr="00662462">
              <w:rPr>
                <w:sz w:val="18"/>
                <w:szCs w:val="18"/>
              </w:rPr>
              <w:t>,487.85</w:t>
            </w:r>
          </w:p>
        </w:tc>
        <w:tc>
          <w:tcPr>
            <w:tcW w:w="1710" w:type="dxa"/>
            <w:tcBorders>
              <w:top w:val="single" w:sz="4" w:space="0" w:color="auto"/>
            </w:tcBorders>
          </w:tcPr>
          <w:p w:rsidR="00E6679B" w:rsidRPr="00662462" w:rsidRDefault="00E6679B" w:rsidP="00662462">
            <w:pPr>
              <w:pStyle w:val="NoSpacing"/>
              <w:jc w:val="right"/>
              <w:rPr>
                <w:sz w:val="18"/>
                <w:szCs w:val="18"/>
              </w:rPr>
            </w:pPr>
          </w:p>
          <w:p w:rsidR="00E6679B" w:rsidRPr="00662462" w:rsidRDefault="00141ED1" w:rsidP="00662462">
            <w:pPr>
              <w:pStyle w:val="NoSpacing"/>
              <w:jc w:val="right"/>
              <w:rPr>
                <w:sz w:val="18"/>
                <w:szCs w:val="18"/>
              </w:rPr>
            </w:pPr>
            <w:r w:rsidRPr="00662462">
              <w:rPr>
                <w:sz w:val="18"/>
                <w:szCs w:val="18"/>
              </w:rPr>
              <w:t xml:space="preserve">     </w:t>
            </w:r>
            <w:r w:rsidR="00E6679B" w:rsidRPr="00662462">
              <w:rPr>
                <w:sz w:val="18"/>
                <w:szCs w:val="18"/>
              </w:rPr>
              <w:t xml:space="preserve"> </w:t>
            </w:r>
            <w:r w:rsidRPr="00662462">
              <w:rPr>
                <w:dstrike/>
                <w:sz w:val="18"/>
                <w:szCs w:val="18"/>
              </w:rPr>
              <w:t>P</w:t>
            </w:r>
            <w:r w:rsidR="00E6679B" w:rsidRPr="00662462">
              <w:rPr>
                <w:sz w:val="18"/>
                <w:szCs w:val="18"/>
              </w:rPr>
              <w:t xml:space="preserve"> </w:t>
            </w:r>
            <w:r w:rsidR="00306E40" w:rsidRPr="00662462">
              <w:rPr>
                <w:sz w:val="18"/>
                <w:szCs w:val="18"/>
              </w:rPr>
              <w:t xml:space="preserve">  </w:t>
            </w:r>
            <w:r w:rsidR="00E6679B" w:rsidRPr="00662462">
              <w:rPr>
                <w:sz w:val="18"/>
                <w:szCs w:val="18"/>
              </w:rPr>
              <w:t>681.60</w:t>
            </w:r>
          </w:p>
        </w:tc>
      </w:tr>
      <w:tr w:rsidR="00E6679B" w:rsidTr="00CE2DEF">
        <w:tc>
          <w:tcPr>
            <w:tcW w:w="2160" w:type="dxa"/>
          </w:tcPr>
          <w:p w:rsidR="00E6679B" w:rsidRPr="00662462" w:rsidRDefault="00E6679B" w:rsidP="00E768C3">
            <w:pPr>
              <w:pStyle w:val="NoSpacing"/>
              <w:rPr>
                <w:sz w:val="18"/>
                <w:szCs w:val="18"/>
              </w:rPr>
            </w:pPr>
            <w:r w:rsidRPr="00662462">
              <w:rPr>
                <w:sz w:val="18"/>
                <w:szCs w:val="18"/>
              </w:rPr>
              <w:t>Insurance Premium-Toyota Grandia SJN-623</w:t>
            </w:r>
          </w:p>
        </w:tc>
        <w:tc>
          <w:tcPr>
            <w:tcW w:w="1440" w:type="dxa"/>
          </w:tcPr>
          <w:p w:rsidR="00E6679B" w:rsidRPr="00662462" w:rsidRDefault="00E6679B" w:rsidP="00E768C3">
            <w:pPr>
              <w:pStyle w:val="NoSpacing"/>
              <w:jc w:val="both"/>
              <w:rPr>
                <w:sz w:val="18"/>
                <w:szCs w:val="18"/>
              </w:rPr>
            </w:pPr>
          </w:p>
          <w:p w:rsidR="00E6679B" w:rsidRPr="00662462" w:rsidRDefault="00E6679B" w:rsidP="00E768C3">
            <w:pPr>
              <w:pStyle w:val="NoSpacing"/>
              <w:jc w:val="both"/>
              <w:rPr>
                <w:sz w:val="18"/>
                <w:szCs w:val="18"/>
              </w:rPr>
            </w:pPr>
            <w:r w:rsidRPr="00662462">
              <w:rPr>
                <w:sz w:val="18"/>
                <w:szCs w:val="18"/>
              </w:rPr>
              <w:t>4/</w:t>
            </w:r>
            <w:r w:rsidR="00DD056E">
              <w:rPr>
                <w:sz w:val="18"/>
                <w:szCs w:val="18"/>
              </w:rPr>
              <w:t>0</w:t>
            </w:r>
            <w:r w:rsidRPr="00662462">
              <w:rPr>
                <w:sz w:val="18"/>
                <w:szCs w:val="18"/>
              </w:rPr>
              <w:t>1/16-4/</w:t>
            </w:r>
            <w:r w:rsidR="00DD056E">
              <w:rPr>
                <w:sz w:val="18"/>
                <w:szCs w:val="18"/>
              </w:rPr>
              <w:t>0</w:t>
            </w:r>
            <w:r w:rsidRPr="00662462">
              <w:rPr>
                <w:sz w:val="18"/>
                <w:szCs w:val="18"/>
              </w:rPr>
              <w:t xml:space="preserve">1/17  </w:t>
            </w:r>
          </w:p>
        </w:tc>
        <w:tc>
          <w:tcPr>
            <w:tcW w:w="1800" w:type="dxa"/>
          </w:tcPr>
          <w:p w:rsidR="00E6679B" w:rsidRPr="00662462" w:rsidRDefault="00E6679B" w:rsidP="00662462">
            <w:pPr>
              <w:pStyle w:val="NoSpacing"/>
              <w:jc w:val="right"/>
              <w:rPr>
                <w:sz w:val="18"/>
                <w:szCs w:val="18"/>
              </w:rPr>
            </w:pPr>
          </w:p>
          <w:p w:rsidR="00E6679B" w:rsidRPr="00662462" w:rsidRDefault="00CE2DEF" w:rsidP="00CE2DEF">
            <w:pPr>
              <w:pStyle w:val="NoSpacing"/>
              <w:jc w:val="center"/>
              <w:rPr>
                <w:sz w:val="18"/>
                <w:szCs w:val="18"/>
              </w:rPr>
            </w:pPr>
            <w:r>
              <w:rPr>
                <w:sz w:val="18"/>
                <w:szCs w:val="18"/>
              </w:rPr>
              <w:t xml:space="preserve">     </w:t>
            </w:r>
            <w:r w:rsidR="00E6679B" w:rsidRPr="00662462">
              <w:rPr>
                <w:sz w:val="18"/>
                <w:szCs w:val="18"/>
              </w:rPr>
              <w:t>5,710.04</w:t>
            </w:r>
          </w:p>
        </w:tc>
        <w:tc>
          <w:tcPr>
            <w:tcW w:w="1080" w:type="dxa"/>
          </w:tcPr>
          <w:p w:rsidR="00E6679B" w:rsidRPr="00662462" w:rsidRDefault="00E6679B" w:rsidP="00662462">
            <w:pPr>
              <w:pStyle w:val="NoSpacing"/>
              <w:jc w:val="right"/>
              <w:rPr>
                <w:sz w:val="18"/>
                <w:szCs w:val="18"/>
              </w:rPr>
            </w:pPr>
          </w:p>
          <w:p w:rsidR="00E6679B" w:rsidRPr="00662462" w:rsidRDefault="00E6679B" w:rsidP="00662462">
            <w:pPr>
              <w:pStyle w:val="NoSpacing"/>
              <w:jc w:val="right"/>
              <w:rPr>
                <w:sz w:val="18"/>
                <w:szCs w:val="18"/>
              </w:rPr>
            </w:pPr>
            <w:r w:rsidRPr="00662462">
              <w:rPr>
                <w:sz w:val="18"/>
                <w:szCs w:val="18"/>
              </w:rPr>
              <w:t>4,282.53</w:t>
            </w:r>
          </w:p>
        </w:tc>
        <w:tc>
          <w:tcPr>
            <w:tcW w:w="1710" w:type="dxa"/>
          </w:tcPr>
          <w:p w:rsidR="00E6679B" w:rsidRPr="00662462" w:rsidRDefault="00E6679B" w:rsidP="00662462">
            <w:pPr>
              <w:pStyle w:val="NoSpacing"/>
              <w:jc w:val="right"/>
              <w:rPr>
                <w:sz w:val="18"/>
                <w:szCs w:val="18"/>
              </w:rPr>
            </w:pPr>
          </w:p>
          <w:p w:rsidR="00E6679B" w:rsidRPr="00662462" w:rsidRDefault="00141ED1" w:rsidP="00662462">
            <w:pPr>
              <w:pStyle w:val="NoSpacing"/>
              <w:jc w:val="right"/>
              <w:rPr>
                <w:sz w:val="18"/>
                <w:szCs w:val="18"/>
              </w:rPr>
            </w:pPr>
            <w:r w:rsidRPr="00662462">
              <w:rPr>
                <w:sz w:val="18"/>
                <w:szCs w:val="18"/>
              </w:rPr>
              <w:t xml:space="preserve"> </w:t>
            </w:r>
            <w:r w:rsidR="00E6679B" w:rsidRPr="00662462">
              <w:rPr>
                <w:sz w:val="18"/>
                <w:szCs w:val="18"/>
              </w:rPr>
              <w:t>1,427.51</w:t>
            </w:r>
          </w:p>
        </w:tc>
      </w:tr>
      <w:tr w:rsidR="00E6679B" w:rsidTr="00CE2DEF">
        <w:tc>
          <w:tcPr>
            <w:tcW w:w="2160" w:type="dxa"/>
          </w:tcPr>
          <w:p w:rsidR="00E6679B" w:rsidRPr="00662462" w:rsidRDefault="00E6679B" w:rsidP="00E768C3">
            <w:pPr>
              <w:pStyle w:val="NoSpacing"/>
              <w:rPr>
                <w:sz w:val="18"/>
                <w:szCs w:val="18"/>
              </w:rPr>
            </w:pPr>
            <w:r w:rsidRPr="00662462">
              <w:rPr>
                <w:sz w:val="18"/>
                <w:szCs w:val="18"/>
              </w:rPr>
              <w:t>Insurance Premium-Toyota Innova SHY-154</w:t>
            </w:r>
          </w:p>
        </w:tc>
        <w:tc>
          <w:tcPr>
            <w:tcW w:w="1440" w:type="dxa"/>
          </w:tcPr>
          <w:p w:rsidR="00E6679B" w:rsidRPr="00662462" w:rsidRDefault="00E6679B" w:rsidP="00E768C3">
            <w:pPr>
              <w:pStyle w:val="NoSpacing"/>
              <w:jc w:val="both"/>
              <w:rPr>
                <w:sz w:val="18"/>
                <w:szCs w:val="18"/>
              </w:rPr>
            </w:pPr>
          </w:p>
          <w:p w:rsidR="00E6679B" w:rsidRPr="00662462" w:rsidRDefault="00E6679B" w:rsidP="00E768C3">
            <w:pPr>
              <w:pStyle w:val="NoSpacing"/>
              <w:jc w:val="both"/>
              <w:rPr>
                <w:sz w:val="18"/>
                <w:szCs w:val="18"/>
              </w:rPr>
            </w:pPr>
            <w:r w:rsidRPr="00662462">
              <w:rPr>
                <w:sz w:val="18"/>
                <w:szCs w:val="18"/>
              </w:rPr>
              <w:t>5/</w:t>
            </w:r>
            <w:r w:rsidR="00DD056E">
              <w:rPr>
                <w:sz w:val="18"/>
                <w:szCs w:val="18"/>
              </w:rPr>
              <w:t>0</w:t>
            </w:r>
            <w:r w:rsidRPr="00662462">
              <w:rPr>
                <w:sz w:val="18"/>
                <w:szCs w:val="18"/>
              </w:rPr>
              <w:t>1/16-5/</w:t>
            </w:r>
            <w:r w:rsidR="00DD056E">
              <w:rPr>
                <w:sz w:val="18"/>
                <w:szCs w:val="18"/>
              </w:rPr>
              <w:t>0</w:t>
            </w:r>
            <w:r w:rsidRPr="00662462">
              <w:rPr>
                <w:sz w:val="18"/>
                <w:szCs w:val="18"/>
              </w:rPr>
              <w:t>1/17</w:t>
            </w:r>
          </w:p>
        </w:tc>
        <w:tc>
          <w:tcPr>
            <w:tcW w:w="1800" w:type="dxa"/>
          </w:tcPr>
          <w:p w:rsidR="00E6679B" w:rsidRPr="00662462" w:rsidRDefault="00E6679B" w:rsidP="00662462">
            <w:pPr>
              <w:pStyle w:val="NoSpacing"/>
              <w:jc w:val="right"/>
              <w:rPr>
                <w:sz w:val="18"/>
                <w:szCs w:val="18"/>
              </w:rPr>
            </w:pPr>
          </w:p>
          <w:p w:rsidR="00E6679B" w:rsidRPr="00662462" w:rsidRDefault="00CE2DEF" w:rsidP="00CE2DEF">
            <w:pPr>
              <w:pStyle w:val="NoSpacing"/>
              <w:jc w:val="center"/>
              <w:rPr>
                <w:sz w:val="18"/>
                <w:szCs w:val="18"/>
              </w:rPr>
            </w:pPr>
            <w:r>
              <w:rPr>
                <w:sz w:val="18"/>
                <w:szCs w:val="18"/>
              </w:rPr>
              <w:t xml:space="preserve">     </w:t>
            </w:r>
            <w:r w:rsidR="00E6679B" w:rsidRPr="00662462">
              <w:rPr>
                <w:sz w:val="18"/>
                <w:szCs w:val="18"/>
              </w:rPr>
              <w:t>3,715.78</w:t>
            </w:r>
          </w:p>
        </w:tc>
        <w:tc>
          <w:tcPr>
            <w:tcW w:w="1080" w:type="dxa"/>
          </w:tcPr>
          <w:p w:rsidR="00E6679B" w:rsidRPr="00662462" w:rsidRDefault="00E6679B" w:rsidP="00662462">
            <w:pPr>
              <w:pStyle w:val="NoSpacing"/>
              <w:jc w:val="right"/>
              <w:rPr>
                <w:sz w:val="18"/>
                <w:szCs w:val="18"/>
              </w:rPr>
            </w:pPr>
          </w:p>
          <w:p w:rsidR="00E6679B" w:rsidRPr="00662462" w:rsidRDefault="00E6679B" w:rsidP="00662462">
            <w:pPr>
              <w:pStyle w:val="NoSpacing"/>
              <w:jc w:val="right"/>
              <w:rPr>
                <w:sz w:val="18"/>
                <w:szCs w:val="18"/>
              </w:rPr>
            </w:pPr>
            <w:r w:rsidRPr="00662462">
              <w:rPr>
                <w:sz w:val="18"/>
                <w:szCs w:val="18"/>
              </w:rPr>
              <w:t>2,477.19</w:t>
            </w:r>
          </w:p>
        </w:tc>
        <w:tc>
          <w:tcPr>
            <w:tcW w:w="1710" w:type="dxa"/>
          </w:tcPr>
          <w:p w:rsidR="00E6679B" w:rsidRPr="00662462" w:rsidRDefault="00E6679B" w:rsidP="00662462">
            <w:pPr>
              <w:pStyle w:val="NoSpacing"/>
              <w:jc w:val="right"/>
              <w:rPr>
                <w:sz w:val="18"/>
                <w:szCs w:val="18"/>
              </w:rPr>
            </w:pPr>
          </w:p>
          <w:p w:rsidR="00E6679B" w:rsidRPr="00662462" w:rsidRDefault="00E6679B" w:rsidP="00662462">
            <w:pPr>
              <w:pStyle w:val="NoSpacing"/>
              <w:jc w:val="right"/>
              <w:rPr>
                <w:sz w:val="18"/>
                <w:szCs w:val="18"/>
              </w:rPr>
            </w:pPr>
            <w:r w:rsidRPr="00662462">
              <w:rPr>
                <w:sz w:val="18"/>
                <w:szCs w:val="18"/>
              </w:rPr>
              <w:t>1,238.59</w:t>
            </w:r>
          </w:p>
        </w:tc>
      </w:tr>
      <w:tr w:rsidR="00E6679B" w:rsidTr="00CE2DEF">
        <w:tc>
          <w:tcPr>
            <w:tcW w:w="2160" w:type="dxa"/>
          </w:tcPr>
          <w:p w:rsidR="00E6679B" w:rsidRPr="00662462" w:rsidRDefault="00E6679B" w:rsidP="00E768C3">
            <w:pPr>
              <w:pStyle w:val="NoSpacing"/>
              <w:rPr>
                <w:sz w:val="18"/>
                <w:szCs w:val="18"/>
              </w:rPr>
            </w:pPr>
            <w:r w:rsidRPr="00662462">
              <w:rPr>
                <w:sz w:val="18"/>
                <w:szCs w:val="18"/>
              </w:rPr>
              <w:t>Insurance Premium-Mitsubishi L300 SGS-327</w:t>
            </w:r>
          </w:p>
        </w:tc>
        <w:tc>
          <w:tcPr>
            <w:tcW w:w="1440" w:type="dxa"/>
          </w:tcPr>
          <w:p w:rsidR="00E6679B" w:rsidRPr="00662462" w:rsidRDefault="00E6679B" w:rsidP="00E768C3">
            <w:pPr>
              <w:pStyle w:val="NoSpacing"/>
              <w:jc w:val="both"/>
              <w:rPr>
                <w:sz w:val="18"/>
                <w:szCs w:val="18"/>
              </w:rPr>
            </w:pPr>
          </w:p>
          <w:p w:rsidR="00E6679B" w:rsidRPr="00662462" w:rsidRDefault="00E6679B" w:rsidP="00E768C3">
            <w:pPr>
              <w:pStyle w:val="NoSpacing"/>
              <w:jc w:val="both"/>
              <w:rPr>
                <w:sz w:val="18"/>
                <w:szCs w:val="18"/>
              </w:rPr>
            </w:pPr>
            <w:r w:rsidRPr="00662462">
              <w:rPr>
                <w:sz w:val="18"/>
                <w:szCs w:val="18"/>
              </w:rPr>
              <w:t>8/</w:t>
            </w:r>
            <w:r w:rsidR="00DD056E">
              <w:rPr>
                <w:sz w:val="18"/>
                <w:szCs w:val="18"/>
              </w:rPr>
              <w:t>0</w:t>
            </w:r>
            <w:r w:rsidRPr="00662462">
              <w:rPr>
                <w:sz w:val="18"/>
                <w:szCs w:val="18"/>
              </w:rPr>
              <w:t>1/16-8/</w:t>
            </w:r>
            <w:r w:rsidR="00DD056E">
              <w:rPr>
                <w:sz w:val="18"/>
                <w:szCs w:val="18"/>
              </w:rPr>
              <w:t>0</w:t>
            </w:r>
            <w:r w:rsidRPr="00662462">
              <w:rPr>
                <w:sz w:val="18"/>
                <w:szCs w:val="18"/>
              </w:rPr>
              <w:t>1/17</w:t>
            </w:r>
          </w:p>
        </w:tc>
        <w:tc>
          <w:tcPr>
            <w:tcW w:w="1800" w:type="dxa"/>
          </w:tcPr>
          <w:p w:rsidR="00E6679B" w:rsidRPr="00662462" w:rsidRDefault="00E6679B" w:rsidP="00662462">
            <w:pPr>
              <w:pStyle w:val="NoSpacing"/>
              <w:jc w:val="right"/>
              <w:rPr>
                <w:sz w:val="18"/>
                <w:szCs w:val="18"/>
              </w:rPr>
            </w:pPr>
          </w:p>
          <w:p w:rsidR="00E6679B" w:rsidRPr="00662462" w:rsidRDefault="00CE2DEF" w:rsidP="00CE2DEF">
            <w:pPr>
              <w:pStyle w:val="NoSpacing"/>
              <w:jc w:val="center"/>
              <w:rPr>
                <w:sz w:val="18"/>
                <w:szCs w:val="18"/>
              </w:rPr>
            </w:pPr>
            <w:r>
              <w:rPr>
                <w:sz w:val="18"/>
                <w:szCs w:val="18"/>
              </w:rPr>
              <w:t xml:space="preserve">     </w:t>
            </w:r>
            <w:r w:rsidR="00E6679B" w:rsidRPr="00662462">
              <w:rPr>
                <w:sz w:val="18"/>
                <w:szCs w:val="18"/>
              </w:rPr>
              <w:t>3,011.11</w:t>
            </w:r>
          </w:p>
        </w:tc>
        <w:tc>
          <w:tcPr>
            <w:tcW w:w="1080" w:type="dxa"/>
          </w:tcPr>
          <w:p w:rsidR="00E6679B" w:rsidRPr="00662462" w:rsidRDefault="00E6679B" w:rsidP="00662462">
            <w:pPr>
              <w:pStyle w:val="NoSpacing"/>
              <w:jc w:val="right"/>
              <w:rPr>
                <w:sz w:val="18"/>
                <w:szCs w:val="18"/>
              </w:rPr>
            </w:pPr>
          </w:p>
          <w:p w:rsidR="00E6679B" w:rsidRPr="00662462" w:rsidRDefault="00E6679B" w:rsidP="00662462">
            <w:pPr>
              <w:pStyle w:val="NoSpacing"/>
              <w:jc w:val="right"/>
              <w:rPr>
                <w:sz w:val="18"/>
                <w:szCs w:val="18"/>
              </w:rPr>
            </w:pPr>
            <w:r w:rsidRPr="00662462">
              <w:rPr>
                <w:sz w:val="18"/>
                <w:szCs w:val="18"/>
              </w:rPr>
              <w:t>1,254.63</w:t>
            </w:r>
          </w:p>
        </w:tc>
        <w:tc>
          <w:tcPr>
            <w:tcW w:w="1710" w:type="dxa"/>
          </w:tcPr>
          <w:p w:rsidR="00E6679B" w:rsidRPr="00662462" w:rsidRDefault="00E6679B" w:rsidP="00662462">
            <w:pPr>
              <w:pStyle w:val="NoSpacing"/>
              <w:jc w:val="right"/>
              <w:rPr>
                <w:sz w:val="18"/>
                <w:szCs w:val="18"/>
              </w:rPr>
            </w:pPr>
          </w:p>
          <w:p w:rsidR="00E6679B" w:rsidRPr="00662462" w:rsidRDefault="00E6679B" w:rsidP="00662462">
            <w:pPr>
              <w:pStyle w:val="NoSpacing"/>
              <w:jc w:val="right"/>
              <w:rPr>
                <w:sz w:val="18"/>
                <w:szCs w:val="18"/>
              </w:rPr>
            </w:pPr>
            <w:r w:rsidRPr="00662462">
              <w:rPr>
                <w:sz w:val="18"/>
                <w:szCs w:val="18"/>
              </w:rPr>
              <w:t>1,756.48</w:t>
            </w:r>
          </w:p>
        </w:tc>
      </w:tr>
      <w:tr w:rsidR="00E6679B" w:rsidTr="00CE2DEF">
        <w:tc>
          <w:tcPr>
            <w:tcW w:w="2160" w:type="dxa"/>
            <w:tcBorders>
              <w:bottom w:val="single" w:sz="4" w:space="0" w:color="auto"/>
            </w:tcBorders>
          </w:tcPr>
          <w:p w:rsidR="00E6679B" w:rsidRPr="00662462" w:rsidRDefault="00E6679B" w:rsidP="00E768C3">
            <w:pPr>
              <w:pStyle w:val="NoSpacing"/>
              <w:rPr>
                <w:sz w:val="18"/>
                <w:szCs w:val="18"/>
              </w:rPr>
            </w:pPr>
            <w:r w:rsidRPr="00662462">
              <w:rPr>
                <w:sz w:val="18"/>
                <w:szCs w:val="18"/>
              </w:rPr>
              <w:t>Insurance Premium-Toyota Hi-Ace SEW-411</w:t>
            </w:r>
          </w:p>
        </w:tc>
        <w:tc>
          <w:tcPr>
            <w:tcW w:w="1440" w:type="dxa"/>
            <w:tcBorders>
              <w:bottom w:val="single" w:sz="4" w:space="0" w:color="auto"/>
            </w:tcBorders>
          </w:tcPr>
          <w:p w:rsidR="00E6679B" w:rsidRPr="00662462" w:rsidRDefault="00E6679B" w:rsidP="00E768C3">
            <w:pPr>
              <w:pStyle w:val="NoSpacing"/>
              <w:jc w:val="both"/>
              <w:rPr>
                <w:sz w:val="18"/>
                <w:szCs w:val="18"/>
              </w:rPr>
            </w:pPr>
          </w:p>
          <w:p w:rsidR="00E6679B" w:rsidRPr="00662462" w:rsidRDefault="00E6679B" w:rsidP="00E768C3">
            <w:pPr>
              <w:pStyle w:val="NoSpacing"/>
              <w:jc w:val="both"/>
              <w:rPr>
                <w:sz w:val="18"/>
                <w:szCs w:val="18"/>
              </w:rPr>
            </w:pPr>
            <w:r w:rsidRPr="00662462">
              <w:rPr>
                <w:sz w:val="18"/>
                <w:szCs w:val="18"/>
              </w:rPr>
              <w:t>2/</w:t>
            </w:r>
            <w:r w:rsidR="00DD056E">
              <w:rPr>
                <w:sz w:val="18"/>
                <w:szCs w:val="18"/>
              </w:rPr>
              <w:t>0</w:t>
            </w:r>
            <w:r w:rsidRPr="00662462">
              <w:rPr>
                <w:sz w:val="18"/>
                <w:szCs w:val="18"/>
              </w:rPr>
              <w:t>1/17-2/</w:t>
            </w:r>
            <w:r w:rsidR="00DD056E">
              <w:rPr>
                <w:sz w:val="18"/>
                <w:szCs w:val="18"/>
              </w:rPr>
              <w:t>0</w:t>
            </w:r>
            <w:r w:rsidRPr="00662462">
              <w:rPr>
                <w:sz w:val="18"/>
                <w:szCs w:val="18"/>
              </w:rPr>
              <w:t>1/18</w:t>
            </w:r>
          </w:p>
        </w:tc>
        <w:tc>
          <w:tcPr>
            <w:tcW w:w="1800" w:type="dxa"/>
            <w:tcBorders>
              <w:bottom w:val="single" w:sz="4" w:space="0" w:color="auto"/>
            </w:tcBorders>
          </w:tcPr>
          <w:p w:rsidR="00E6679B" w:rsidRPr="00662462" w:rsidRDefault="00E6679B" w:rsidP="00662462">
            <w:pPr>
              <w:pStyle w:val="NoSpacing"/>
              <w:jc w:val="right"/>
              <w:rPr>
                <w:sz w:val="18"/>
                <w:szCs w:val="18"/>
              </w:rPr>
            </w:pPr>
          </w:p>
          <w:p w:rsidR="00E6679B" w:rsidRPr="00662462" w:rsidRDefault="00CE2DEF" w:rsidP="00CE2DEF">
            <w:pPr>
              <w:pStyle w:val="NoSpacing"/>
              <w:jc w:val="center"/>
              <w:rPr>
                <w:sz w:val="18"/>
                <w:szCs w:val="18"/>
              </w:rPr>
            </w:pPr>
            <w:r>
              <w:rPr>
                <w:sz w:val="18"/>
                <w:szCs w:val="18"/>
              </w:rPr>
              <w:t xml:space="preserve">     </w:t>
            </w:r>
            <w:r w:rsidR="00E6679B" w:rsidRPr="00662462">
              <w:rPr>
                <w:sz w:val="18"/>
                <w:szCs w:val="18"/>
              </w:rPr>
              <w:t>2,698.90</w:t>
            </w:r>
          </w:p>
        </w:tc>
        <w:tc>
          <w:tcPr>
            <w:tcW w:w="1080" w:type="dxa"/>
            <w:tcBorders>
              <w:bottom w:val="single" w:sz="4" w:space="0" w:color="auto"/>
            </w:tcBorders>
          </w:tcPr>
          <w:p w:rsidR="00E6679B" w:rsidRPr="00662462" w:rsidRDefault="00E6679B" w:rsidP="00662462">
            <w:pPr>
              <w:pStyle w:val="NoSpacing"/>
              <w:jc w:val="right"/>
              <w:rPr>
                <w:sz w:val="18"/>
                <w:szCs w:val="18"/>
              </w:rPr>
            </w:pPr>
          </w:p>
          <w:p w:rsidR="00E6679B" w:rsidRPr="00662462" w:rsidRDefault="00565EE5" w:rsidP="00662462">
            <w:pPr>
              <w:pStyle w:val="NoSpacing"/>
              <w:jc w:val="right"/>
              <w:rPr>
                <w:sz w:val="18"/>
                <w:szCs w:val="18"/>
              </w:rPr>
            </w:pPr>
            <w:r>
              <w:rPr>
                <w:sz w:val="18"/>
                <w:szCs w:val="18"/>
              </w:rPr>
              <w:t>-</w:t>
            </w:r>
          </w:p>
        </w:tc>
        <w:tc>
          <w:tcPr>
            <w:tcW w:w="1710" w:type="dxa"/>
            <w:tcBorders>
              <w:bottom w:val="single" w:sz="4" w:space="0" w:color="auto"/>
            </w:tcBorders>
          </w:tcPr>
          <w:p w:rsidR="00E6679B" w:rsidRPr="00662462" w:rsidRDefault="00E6679B" w:rsidP="00662462">
            <w:pPr>
              <w:pStyle w:val="NoSpacing"/>
              <w:jc w:val="right"/>
              <w:rPr>
                <w:sz w:val="18"/>
                <w:szCs w:val="18"/>
              </w:rPr>
            </w:pPr>
          </w:p>
          <w:p w:rsidR="00E6679B" w:rsidRPr="00662462" w:rsidRDefault="00E6679B" w:rsidP="00662462">
            <w:pPr>
              <w:pStyle w:val="NoSpacing"/>
              <w:jc w:val="right"/>
              <w:rPr>
                <w:sz w:val="18"/>
                <w:szCs w:val="18"/>
              </w:rPr>
            </w:pPr>
            <w:r w:rsidRPr="00662462">
              <w:rPr>
                <w:sz w:val="18"/>
                <w:szCs w:val="18"/>
              </w:rPr>
              <w:t>2,698.90</w:t>
            </w:r>
          </w:p>
        </w:tc>
      </w:tr>
      <w:tr w:rsidR="00E6679B" w:rsidTr="00CE2DEF">
        <w:trPr>
          <w:trHeight w:val="233"/>
        </w:trPr>
        <w:tc>
          <w:tcPr>
            <w:tcW w:w="2160" w:type="dxa"/>
            <w:tcBorders>
              <w:top w:val="single" w:sz="4" w:space="0" w:color="auto"/>
              <w:bottom w:val="single" w:sz="4" w:space="0" w:color="auto"/>
            </w:tcBorders>
          </w:tcPr>
          <w:p w:rsidR="00E6679B" w:rsidRPr="00662462" w:rsidRDefault="00E6679B" w:rsidP="00E768C3">
            <w:pPr>
              <w:pStyle w:val="NoSpacing"/>
              <w:jc w:val="both"/>
              <w:rPr>
                <w:b/>
                <w:sz w:val="18"/>
                <w:szCs w:val="18"/>
              </w:rPr>
            </w:pPr>
            <w:r w:rsidRPr="00662462">
              <w:rPr>
                <w:b/>
                <w:sz w:val="18"/>
                <w:szCs w:val="18"/>
              </w:rPr>
              <w:t>Total</w:t>
            </w:r>
          </w:p>
        </w:tc>
        <w:tc>
          <w:tcPr>
            <w:tcW w:w="1440" w:type="dxa"/>
            <w:tcBorders>
              <w:top w:val="single" w:sz="4" w:space="0" w:color="auto"/>
              <w:bottom w:val="single" w:sz="4" w:space="0" w:color="auto"/>
            </w:tcBorders>
          </w:tcPr>
          <w:p w:rsidR="00E6679B" w:rsidRPr="00662462" w:rsidRDefault="00E6679B" w:rsidP="00E768C3">
            <w:pPr>
              <w:pStyle w:val="NoSpacing"/>
              <w:jc w:val="both"/>
              <w:rPr>
                <w:sz w:val="18"/>
                <w:szCs w:val="18"/>
              </w:rPr>
            </w:pPr>
          </w:p>
        </w:tc>
        <w:tc>
          <w:tcPr>
            <w:tcW w:w="1800" w:type="dxa"/>
            <w:tcBorders>
              <w:top w:val="single" w:sz="4" w:space="0" w:color="auto"/>
              <w:bottom w:val="single" w:sz="4" w:space="0" w:color="auto"/>
            </w:tcBorders>
          </w:tcPr>
          <w:p w:rsidR="00E6679B" w:rsidRPr="00662462" w:rsidRDefault="00A91E4B" w:rsidP="00CE2DEF">
            <w:pPr>
              <w:pStyle w:val="NoSpacing"/>
              <w:jc w:val="center"/>
              <w:rPr>
                <w:b/>
                <w:sz w:val="18"/>
                <w:szCs w:val="18"/>
              </w:rPr>
            </w:pPr>
            <w:r w:rsidRPr="00662462">
              <w:rPr>
                <w:b/>
                <w:dstrike/>
                <w:sz w:val="18"/>
                <w:szCs w:val="18"/>
              </w:rPr>
              <w:t>P</w:t>
            </w:r>
            <w:r w:rsidR="00E6679B" w:rsidRPr="00662462">
              <w:rPr>
                <w:b/>
                <w:sz w:val="18"/>
                <w:szCs w:val="18"/>
              </w:rPr>
              <w:t>18,305.28</w:t>
            </w:r>
          </w:p>
        </w:tc>
        <w:tc>
          <w:tcPr>
            <w:tcW w:w="1080" w:type="dxa"/>
            <w:tcBorders>
              <w:top w:val="single" w:sz="4" w:space="0" w:color="auto"/>
              <w:bottom w:val="single" w:sz="4" w:space="0" w:color="auto"/>
            </w:tcBorders>
          </w:tcPr>
          <w:p w:rsidR="00E6679B" w:rsidRPr="00810E96" w:rsidRDefault="00E6679B" w:rsidP="00662462">
            <w:pPr>
              <w:pStyle w:val="NoSpacing"/>
              <w:jc w:val="right"/>
              <w:rPr>
                <w:b/>
                <w:sz w:val="18"/>
                <w:szCs w:val="18"/>
              </w:rPr>
            </w:pPr>
            <w:r w:rsidRPr="00810E96">
              <w:rPr>
                <w:b/>
                <w:dstrike/>
                <w:sz w:val="18"/>
                <w:szCs w:val="18"/>
              </w:rPr>
              <w:t>P</w:t>
            </w:r>
            <w:r w:rsidRPr="00810E96">
              <w:rPr>
                <w:b/>
                <w:sz w:val="18"/>
                <w:szCs w:val="18"/>
              </w:rPr>
              <w:t>10,502.</w:t>
            </w:r>
            <w:r w:rsidR="00F645DB" w:rsidRPr="00810E96">
              <w:rPr>
                <w:b/>
                <w:sz w:val="18"/>
                <w:szCs w:val="18"/>
              </w:rPr>
              <w:t>20</w:t>
            </w:r>
          </w:p>
        </w:tc>
        <w:tc>
          <w:tcPr>
            <w:tcW w:w="1710" w:type="dxa"/>
            <w:tcBorders>
              <w:top w:val="single" w:sz="4" w:space="0" w:color="auto"/>
              <w:bottom w:val="single" w:sz="4" w:space="0" w:color="auto"/>
            </w:tcBorders>
          </w:tcPr>
          <w:p w:rsidR="00E6679B" w:rsidRPr="00F645DB" w:rsidRDefault="00A91E4B" w:rsidP="00662462">
            <w:pPr>
              <w:pStyle w:val="NoSpacing"/>
              <w:jc w:val="right"/>
              <w:rPr>
                <w:b/>
                <w:sz w:val="18"/>
                <w:szCs w:val="18"/>
              </w:rPr>
            </w:pPr>
            <w:r w:rsidRPr="00F645DB">
              <w:rPr>
                <w:b/>
                <w:sz w:val="18"/>
                <w:szCs w:val="18"/>
              </w:rPr>
              <w:t xml:space="preserve">      </w:t>
            </w:r>
            <w:r w:rsidRPr="00F645DB">
              <w:rPr>
                <w:b/>
                <w:dstrike/>
                <w:sz w:val="18"/>
                <w:szCs w:val="18"/>
              </w:rPr>
              <w:t>P</w:t>
            </w:r>
            <w:r w:rsidR="00E6679B" w:rsidRPr="00F645DB">
              <w:rPr>
                <w:b/>
                <w:sz w:val="18"/>
                <w:szCs w:val="18"/>
              </w:rPr>
              <w:t>7,803.</w:t>
            </w:r>
            <w:r w:rsidR="00F645DB" w:rsidRPr="00F645DB">
              <w:rPr>
                <w:b/>
                <w:sz w:val="18"/>
                <w:szCs w:val="18"/>
              </w:rPr>
              <w:t>08</w:t>
            </w:r>
          </w:p>
        </w:tc>
      </w:tr>
    </w:tbl>
    <w:p w:rsidR="00E6679B" w:rsidRPr="00352593" w:rsidRDefault="00E6679B" w:rsidP="00352593">
      <w:pPr>
        <w:spacing w:after="0" w:line="240" w:lineRule="auto"/>
        <w:contextualSpacing/>
        <w:rPr>
          <w:rFonts w:ascii="Times New Roman" w:hAnsi="Times New Roman" w:cs="Times New Roman"/>
          <w:sz w:val="24"/>
          <w:szCs w:val="24"/>
        </w:rPr>
      </w:pPr>
    </w:p>
    <w:p w:rsidR="00E84496" w:rsidRPr="007129C8" w:rsidRDefault="00E6679B" w:rsidP="00352593">
      <w:pPr>
        <w:pStyle w:val="ListParagraph"/>
        <w:numPr>
          <w:ilvl w:val="1"/>
          <w:numId w:val="2"/>
        </w:numPr>
        <w:spacing w:after="0" w:line="240" w:lineRule="auto"/>
        <w:ind w:left="990" w:hanging="540"/>
        <w:contextualSpacing/>
        <w:jc w:val="both"/>
        <w:rPr>
          <w:b/>
          <w:sz w:val="20"/>
          <w:szCs w:val="20"/>
        </w:rPr>
      </w:pPr>
      <w:r w:rsidRPr="00E65C38">
        <w:rPr>
          <w:rFonts w:ascii="Times New Roman" w:hAnsi="Times New Roman" w:cs="Times New Roman"/>
          <w:sz w:val="24"/>
          <w:szCs w:val="24"/>
        </w:rPr>
        <w:lastRenderedPageBreak/>
        <w:t xml:space="preserve">The said accounting treatment does not conform to the above-cited provision </w:t>
      </w:r>
      <w:r w:rsidR="00B93BCF">
        <w:rPr>
          <w:rFonts w:ascii="Times New Roman" w:hAnsi="Times New Roman" w:cs="Times New Roman"/>
          <w:sz w:val="24"/>
          <w:szCs w:val="24"/>
        </w:rPr>
        <w:t xml:space="preserve">of PPSAS 1 </w:t>
      </w:r>
      <w:r w:rsidRPr="00E65C38">
        <w:rPr>
          <w:rFonts w:ascii="Times New Roman" w:hAnsi="Times New Roman" w:cs="Times New Roman"/>
          <w:sz w:val="24"/>
          <w:szCs w:val="24"/>
        </w:rPr>
        <w:t>thereby affects the fair presentation of the accounts in the financial statements of the agency.</w:t>
      </w:r>
    </w:p>
    <w:p w:rsidR="00E6679B" w:rsidRPr="00E84496" w:rsidRDefault="00E6679B" w:rsidP="00352593">
      <w:pPr>
        <w:spacing w:after="0" w:line="240" w:lineRule="auto"/>
        <w:contextualSpacing/>
        <w:jc w:val="both"/>
        <w:rPr>
          <w:rFonts w:ascii="Times New Roman" w:hAnsi="Times New Roman" w:cs="Times New Roman"/>
          <w:sz w:val="24"/>
          <w:szCs w:val="24"/>
        </w:rPr>
      </w:pPr>
    </w:p>
    <w:p w:rsidR="00547210" w:rsidRDefault="00E84496">
      <w:pPr>
        <w:spacing w:after="0" w:line="240" w:lineRule="auto"/>
        <w:ind w:left="990" w:hanging="540"/>
        <w:contextualSpacing/>
        <w:jc w:val="both"/>
        <w:rPr>
          <w:rFonts w:ascii="Times New Roman" w:hAnsi="Times New Roman" w:cs="Times New Roman"/>
          <w:b/>
          <w:sz w:val="24"/>
          <w:szCs w:val="24"/>
          <w:u w:val="single"/>
          <w:lang w:val="en-PH"/>
        </w:rPr>
      </w:pPr>
      <w:r>
        <w:rPr>
          <w:rFonts w:ascii="Times New Roman" w:hAnsi="Times New Roman" w:cs="Times New Roman"/>
          <w:b/>
          <w:sz w:val="24"/>
          <w:szCs w:val="24"/>
        </w:rPr>
        <w:t>3.</w:t>
      </w:r>
      <w:r w:rsidR="0061044F">
        <w:rPr>
          <w:rFonts w:ascii="Times New Roman" w:hAnsi="Times New Roman" w:cs="Times New Roman"/>
          <w:b/>
          <w:sz w:val="24"/>
          <w:szCs w:val="24"/>
        </w:rPr>
        <w:t>6</w:t>
      </w:r>
      <w:r>
        <w:rPr>
          <w:rFonts w:ascii="Times New Roman" w:hAnsi="Times New Roman" w:cs="Times New Roman"/>
          <w:b/>
          <w:sz w:val="24"/>
          <w:szCs w:val="24"/>
        </w:rPr>
        <w:tab/>
      </w:r>
      <w:r w:rsidRPr="00E84496">
        <w:rPr>
          <w:rFonts w:ascii="Times New Roman" w:hAnsi="Times New Roman" w:cs="Times New Roman"/>
          <w:b/>
          <w:sz w:val="24"/>
          <w:szCs w:val="24"/>
        </w:rPr>
        <w:t>We recommend</w:t>
      </w:r>
      <w:r>
        <w:rPr>
          <w:rFonts w:ascii="Times New Roman" w:hAnsi="Times New Roman" w:cs="Times New Roman"/>
          <w:b/>
          <w:sz w:val="24"/>
          <w:szCs w:val="24"/>
        </w:rPr>
        <w:t>ed</w:t>
      </w:r>
      <w:r w:rsidRPr="00E84496">
        <w:rPr>
          <w:rFonts w:ascii="Times New Roman" w:hAnsi="Times New Roman" w:cs="Times New Roman"/>
          <w:b/>
          <w:sz w:val="24"/>
          <w:szCs w:val="24"/>
        </w:rPr>
        <w:t xml:space="preserve"> </w:t>
      </w:r>
      <w:r w:rsidR="001A1C19">
        <w:rPr>
          <w:rFonts w:ascii="Times New Roman" w:hAnsi="Times New Roman" w:cs="Times New Roman"/>
          <w:b/>
          <w:sz w:val="24"/>
          <w:szCs w:val="24"/>
        </w:rPr>
        <w:t>and Management agreed to</w:t>
      </w:r>
      <w:r w:rsidRPr="00E84496">
        <w:rPr>
          <w:rFonts w:ascii="Times New Roman" w:hAnsi="Times New Roman" w:cs="Times New Roman"/>
          <w:b/>
          <w:sz w:val="24"/>
          <w:szCs w:val="24"/>
        </w:rPr>
        <w:t xml:space="preserve"> effect the necessary adjustment</w:t>
      </w:r>
      <w:r w:rsidR="001A1C19">
        <w:rPr>
          <w:rFonts w:ascii="Times New Roman" w:hAnsi="Times New Roman" w:cs="Times New Roman"/>
          <w:b/>
          <w:sz w:val="24"/>
          <w:szCs w:val="24"/>
        </w:rPr>
        <w:t>s</w:t>
      </w:r>
      <w:r w:rsidRPr="00E84496">
        <w:rPr>
          <w:rFonts w:ascii="Times New Roman" w:hAnsi="Times New Roman" w:cs="Times New Roman"/>
          <w:b/>
          <w:sz w:val="24"/>
          <w:szCs w:val="24"/>
        </w:rPr>
        <w:t xml:space="preserve"> in the books of accounts to reflect the actual insurance expenses incurred </w:t>
      </w:r>
      <w:r w:rsidR="001A1C19">
        <w:rPr>
          <w:rFonts w:ascii="Times New Roman" w:hAnsi="Times New Roman" w:cs="Times New Roman"/>
          <w:b/>
          <w:sz w:val="24"/>
          <w:szCs w:val="24"/>
        </w:rPr>
        <w:t xml:space="preserve">and recognize the balance under </w:t>
      </w:r>
      <w:r w:rsidR="001A1C19" w:rsidRPr="00352593">
        <w:rPr>
          <w:rFonts w:ascii="Times New Roman" w:hAnsi="Times New Roman" w:cs="Times New Roman"/>
          <w:b/>
          <w:i/>
          <w:sz w:val="24"/>
          <w:szCs w:val="24"/>
        </w:rPr>
        <w:t>Prepaid Insurance</w:t>
      </w:r>
      <w:r w:rsidR="001A1C19">
        <w:rPr>
          <w:rFonts w:ascii="Times New Roman" w:hAnsi="Times New Roman" w:cs="Times New Roman"/>
          <w:b/>
          <w:sz w:val="24"/>
          <w:szCs w:val="24"/>
        </w:rPr>
        <w:t xml:space="preserve"> account</w:t>
      </w:r>
      <w:r w:rsidRPr="00E84496">
        <w:rPr>
          <w:rFonts w:ascii="Times New Roman" w:hAnsi="Times New Roman" w:cs="Times New Roman"/>
          <w:b/>
          <w:sz w:val="24"/>
          <w:szCs w:val="24"/>
        </w:rPr>
        <w:t>.</w:t>
      </w:r>
      <w:r w:rsidR="00EC2A7D">
        <w:rPr>
          <w:rFonts w:ascii="Times New Roman" w:hAnsi="Times New Roman" w:cs="Times New Roman"/>
          <w:b/>
          <w:i/>
          <w:sz w:val="24"/>
          <w:szCs w:val="24"/>
          <w:u w:val="single"/>
          <w:lang w:val="en-PH"/>
        </w:rPr>
        <w:t xml:space="preserve">      </w:t>
      </w:r>
    </w:p>
    <w:p w:rsidR="0014408C" w:rsidRDefault="00EC2A7D" w:rsidP="00352593">
      <w:pPr>
        <w:spacing w:after="0" w:line="240" w:lineRule="auto"/>
        <w:ind w:left="990" w:hanging="540"/>
        <w:contextualSpacing/>
        <w:jc w:val="both"/>
        <w:rPr>
          <w:rFonts w:ascii="Times New Roman" w:hAnsi="Times New Roman" w:cs="Times New Roman"/>
          <w:sz w:val="24"/>
          <w:szCs w:val="24"/>
        </w:rPr>
      </w:pPr>
      <w:r>
        <w:rPr>
          <w:rFonts w:ascii="Times New Roman" w:hAnsi="Times New Roman" w:cs="Times New Roman"/>
          <w:b/>
          <w:i/>
          <w:sz w:val="24"/>
          <w:szCs w:val="24"/>
          <w:u w:val="single"/>
          <w:lang w:val="en-PH"/>
        </w:rPr>
        <w:t xml:space="preserve">   </w:t>
      </w:r>
    </w:p>
    <w:p w:rsidR="007C5C71" w:rsidRPr="002D63D8" w:rsidRDefault="007C5C71" w:rsidP="00B21032">
      <w:pPr>
        <w:spacing w:line="240" w:lineRule="auto"/>
        <w:contextualSpacing/>
        <w:jc w:val="both"/>
        <w:rPr>
          <w:rFonts w:ascii="Times New Roman" w:hAnsi="Times New Roman" w:cs="Times New Roman"/>
          <w:b/>
          <w:sz w:val="24"/>
          <w:szCs w:val="24"/>
        </w:rPr>
      </w:pPr>
      <w:r w:rsidRPr="002D63D8">
        <w:rPr>
          <w:rFonts w:ascii="Times New Roman" w:hAnsi="Times New Roman" w:cs="Times New Roman"/>
          <w:b/>
          <w:sz w:val="24"/>
          <w:szCs w:val="24"/>
        </w:rPr>
        <w:t xml:space="preserve">Gender and Development (GAD) </w:t>
      </w:r>
    </w:p>
    <w:p w:rsidR="007C5C71" w:rsidRPr="00C35929" w:rsidRDefault="007C5C71" w:rsidP="00C35929">
      <w:pPr>
        <w:spacing w:after="0" w:line="240" w:lineRule="auto"/>
        <w:contextualSpacing/>
        <w:jc w:val="both"/>
        <w:rPr>
          <w:rFonts w:ascii="Times New Roman" w:hAnsi="Times New Roman" w:cs="Times New Roman"/>
          <w:b/>
          <w:bCs/>
          <w:sz w:val="24"/>
          <w:szCs w:val="24"/>
        </w:rPr>
      </w:pPr>
    </w:p>
    <w:p w:rsidR="00C35929" w:rsidRDefault="00C35929" w:rsidP="00366F9F">
      <w:pPr>
        <w:pStyle w:val="ListParagraph"/>
        <w:numPr>
          <w:ilvl w:val="0"/>
          <w:numId w:val="2"/>
        </w:numPr>
        <w:spacing w:after="0" w:line="240" w:lineRule="auto"/>
        <w:ind w:left="450" w:hanging="450"/>
        <w:contextualSpacing/>
        <w:jc w:val="both"/>
        <w:rPr>
          <w:rFonts w:ascii="Times New Roman" w:hAnsi="Times New Roman" w:cs="Times New Roman"/>
          <w:b/>
          <w:sz w:val="24"/>
          <w:szCs w:val="24"/>
          <w:lang w:val="en-PH"/>
        </w:rPr>
      </w:pPr>
      <w:r w:rsidRPr="00C35929">
        <w:rPr>
          <w:rFonts w:ascii="Times New Roman" w:hAnsi="Times New Roman" w:cs="Times New Roman"/>
          <w:b/>
          <w:sz w:val="24"/>
          <w:szCs w:val="24"/>
          <w:lang w:val="en-PH"/>
        </w:rPr>
        <w:t>The SE</w:t>
      </w:r>
      <w:r w:rsidR="00876676">
        <w:rPr>
          <w:rFonts w:ascii="Times New Roman" w:hAnsi="Times New Roman" w:cs="Times New Roman"/>
          <w:b/>
          <w:sz w:val="24"/>
          <w:szCs w:val="24"/>
          <w:lang w:val="en-PH"/>
        </w:rPr>
        <w:t>T</w:t>
      </w:r>
      <w:r w:rsidR="00366F9F">
        <w:rPr>
          <w:rFonts w:ascii="Times New Roman" w:hAnsi="Times New Roman" w:cs="Times New Roman"/>
          <w:b/>
          <w:sz w:val="24"/>
          <w:szCs w:val="24"/>
          <w:lang w:val="en-PH"/>
        </w:rPr>
        <w:t>’s</w:t>
      </w:r>
      <w:r w:rsidR="00876676">
        <w:rPr>
          <w:rFonts w:ascii="Times New Roman" w:hAnsi="Times New Roman" w:cs="Times New Roman"/>
          <w:b/>
          <w:sz w:val="24"/>
          <w:szCs w:val="24"/>
          <w:lang w:val="en-PH"/>
        </w:rPr>
        <w:t xml:space="preserve"> </w:t>
      </w:r>
      <w:r w:rsidR="00366F9F">
        <w:rPr>
          <w:rFonts w:ascii="Times New Roman" w:hAnsi="Times New Roman" w:cs="Times New Roman"/>
          <w:b/>
          <w:sz w:val="24"/>
          <w:szCs w:val="24"/>
          <w:lang w:val="en-PH"/>
        </w:rPr>
        <w:t xml:space="preserve">actual expenditures for GAD for the year totaled to </w:t>
      </w:r>
      <w:r w:rsidR="00366F9F">
        <w:rPr>
          <w:rFonts w:ascii="Times New Roman Bold" w:hAnsi="Times New Roman Bold" w:cs="Times New Roman"/>
          <w:b/>
          <w:dstrike/>
          <w:sz w:val="24"/>
          <w:szCs w:val="24"/>
          <w:lang w:val="en-PH"/>
        </w:rPr>
        <w:t>P</w:t>
      </w:r>
      <w:r w:rsidR="00366F9F">
        <w:rPr>
          <w:rFonts w:ascii="Times New Roman" w:hAnsi="Times New Roman" w:cs="Times New Roman"/>
          <w:b/>
          <w:sz w:val="24"/>
          <w:szCs w:val="24"/>
          <w:lang w:val="en-PH"/>
        </w:rPr>
        <w:t xml:space="preserve">2,556,781.53 which exceeded the budgeted amount of </w:t>
      </w:r>
      <w:r w:rsidR="00366F9F">
        <w:rPr>
          <w:rFonts w:ascii="Times New Roman Bold" w:hAnsi="Times New Roman Bold" w:cs="Times New Roman"/>
          <w:b/>
          <w:dstrike/>
          <w:sz w:val="24"/>
          <w:szCs w:val="24"/>
          <w:lang w:val="en-PH"/>
        </w:rPr>
        <w:t>P</w:t>
      </w:r>
      <w:r w:rsidR="00366F9F">
        <w:rPr>
          <w:rFonts w:ascii="Times New Roman" w:hAnsi="Times New Roman" w:cs="Times New Roman"/>
          <w:b/>
          <w:sz w:val="24"/>
          <w:szCs w:val="24"/>
          <w:lang w:val="en-PH"/>
        </w:rPr>
        <w:t>2,275,000.00 but still inadequate of the five per cent required funding provided under Section</w:t>
      </w:r>
      <w:r w:rsidR="00BC3C78">
        <w:rPr>
          <w:rFonts w:ascii="Times New Roman" w:hAnsi="Times New Roman" w:cs="Times New Roman"/>
          <w:b/>
          <w:sz w:val="24"/>
          <w:szCs w:val="24"/>
          <w:lang w:val="en-PH"/>
        </w:rPr>
        <w:t xml:space="preserve"> 35 of the General Appropriations</w:t>
      </w:r>
      <w:r w:rsidR="00E57F45">
        <w:rPr>
          <w:rFonts w:ascii="Times New Roman" w:hAnsi="Times New Roman" w:cs="Times New Roman"/>
          <w:b/>
          <w:sz w:val="24"/>
          <w:szCs w:val="24"/>
          <w:lang w:val="en-PH"/>
        </w:rPr>
        <w:t xml:space="preserve"> Act (GAA) of</w:t>
      </w:r>
      <w:r w:rsidR="00366F9F">
        <w:rPr>
          <w:rFonts w:ascii="Times New Roman" w:hAnsi="Times New Roman" w:cs="Times New Roman"/>
          <w:b/>
          <w:sz w:val="24"/>
          <w:szCs w:val="24"/>
          <w:lang w:val="en-PH"/>
        </w:rPr>
        <w:t xml:space="preserve"> FY 2016, due to </w:t>
      </w:r>
      <w:r w:rsidR="00942284">
        <w:rPr>
          <w:rFonts w:ascii="Times New Roman" w:hAnsi="Times New Roman" w:cs="Times New Roman"/>
          <w:b/>
          <w:sz w:val="24"/>
          <w:szCs w:val="24"/>
          <w:lang w:val="en-PH"/>
        </w:rPr>
        <w:t xml:space="preserve">the agency’s inadequate identification of issues and concerns pertaining to GAD that </w:t>
      </w:r>
      <w:r w:rsidR="00366F9F">
        <w:rPr>
          <w:rFonts w:ascii="Times New Roman" w:hAnsi="Times New Roman" w:cs="Times New Roman"/>
          <w:b/>
          <w:sz w:val="24"/>
          <w:szCs w:val="24"/>
          <w:lang w:val="en-PH"/>
        </w:rPr>
        <w:t xml:space="preserve">could be integrated in their </w:t>
      </w:r>
      <w:r w:rsidR="00942284">
        <w:rPr>
          <w:rFonts w:ascii="Times New Roman" w:hAnsi="Times New Roman" w:cs="Times New Roman"/>
          <w:b/>
          <w:sz w:val="24"/>
          <w:szCs w:val="24"/>
          <w:lang w:val="en-PH"/>
        </w:rPr>
        <w:t>regular activities</w:t>
      </w:r>
      <w:r w:rsidR="00366F9F">
        <w:rPr>
          <w:rFonts w:ascii="Times New Roman" w:hAnsi="Times New Roman" w:cs="Times New Roman"/>
          <w:b/>
          <w:sz w:val="24"/>
          <w:szCs w:val="24"/>
          <w:lang w:val="en-PH"/>
        </w:rPr>
        <w:t>.</w:t>
      </w:r>
    </w:p>
    <w:p w:rsidR="005E24E3" w:rsidRPr="005E24E3" w:rsidRDefault="00C35929" w:rsidP="00C35929">
      <w:pPr>
        <w:pStyle w:val="ListParagraph"/>
        <w:spacing w:after="0" w:line="240" w:lineRule="auto"/>
        <w:ind w:left="360"/>
        <w:contextualSpacing/>
        <w:jc w:val="both"/>
        <w:rPr>
          <w:rFonts w:ascii="Times New Roman" w:hAnsi="Times New Roman" w:cs="Times New Roman"/>
          <w:b/>
          <w:sz w:val="24"/>
          <w:szCs w:val="24"/>
          <w:lang w:val="en-PH"/>
        </w:rPr>
      </w:pPr>
      <w:r w:rsidRPr="00C35929">
        <w:rPr>
          <w:rFonts w:ascii="Times New Roman" w:hAnsi="Times New Roman" w:cs="Times New Roman"/>
          <w:b/>
          <w:sz w:val="24"/>
          <w:szCs w:val="24"/>
          <w:lang w:val="en-PH"/>
        </w:rPr>
        <w:t xml:space="preserve"> </w:t>
      </w:r>
    </w:p>
    <w:p w:rsidR="00366F9F" w:rsidRDefault="00366F9F" w:rsidP="002E7497">
      <w:pPr>
        <w:widowControl w:val="0"/>
        <w:numPr>
          <w:ilvl w:val="1"/>
          <w:numId w:val="2"/>
        </w:numPr>
        <w:tabs>
          <w:tab w:val="left" w:pos="990"/>
        </w:tabs>
        <w:suppressAutoHyphens/>
        <w:overflowPunct w:val="0"/>
        <w:spacing w:after="0" w:line="240" w:lineRule="auto"/>
        <w:ind w:left="990" w:hanging="540"/>
        <w:contextualSpacing/>
        <w:jc w:val="both"/>
        <w:rPr>
          <w:rFonts w:ascii="Times New Roman" w:hAnsi="Times New Roman" w:cs="Times New Roman"/>
          <w:sz w:val="24"/>
          <w:szCs w:val="24"/>
          <w:lang w:val="en-PH"/>
        </w:rPr>
      </w:pPr>
      <w:r>
        <w:rPr>
          <w:rFonts w:ascii="Times New Roman" w:hAnsi="Times New Roman" w:cs="Times New Roman"/>
          <w:sz w:val="24"/>
          <w:szCs w:val="24"/>
          <w:lang w:val="en-PH"/>
        </w:rPr>
        <w:t xml:space="preserve">The SET’s GAD Plan and Budget </w:t>
      </w:r>
      <w:r w:rsidR="00B30593">
        <w:rPr>
          <w:rFonts w:ascii="Times New Roman" w:hAnsi="Times New Roman" w:cs="Times New Roman"/>
          <w:sz w:val="24"/>
          <w:szCs w:val="24"/>
          <w:lang w:val="en-PH"/>
        </w:rPr>
        <w:t xml:space="preserve">(GPB) </w:t>
      </w:r>
      <w:r>
        <w:rPr>
          <w:rFonts w:ascii="Times New Roman" w:hAnsi="Times New Roman" w:cs="Times New Roman"/>
          <w:sz w:val="24"/>
          <w:szCs w:val="24"/>
          <w:lang w:val="en-PH"/>
        </w:rPr>
        <w:t xml:space="preserve">falls short from the required allocated budget </w:t>
      </w:r>
      <w:r w:rsidR="00FD0A18">
        <w:rPr>
          <w:rFonts w:ascii="Times New Roman" w:hAnsi="Times New Roman" w:cs="Times New Roman"/>
          <w:sz w:val="24"/>
          <w:szCs w:val="24"/>
          <w:lang w:val="en-PH"/>
        </w:rPr>
        <w:t>of five percent</w:t>
      </w:r>
      <w:r w:rsidR="00FD0A18" w:rsidRPr="00942284">
        <w:rPr>
          <w:rFonts w:ascii="Times New Roman" w:hAnsi="Times New Roman" w:cs="Times New Roman"/>
          <w:sz w:val="24"/>
          <w:szCs w:val="24"/>
          <w:lang w:val="en-PH"/>
        </w:rPr>
        <w:t xml:space="preserve"> </w:t>
      </w:r>
      <w:r w:rsidR="00942284" w:rsidRPr="00352593">
        <w:rPr>
          <w:rFonts w:ascii="Times New Roman" w:hAnsi="Times New Roman" w:cs="Times New Roman"/>
          <w:sz w:val="24"/>
          <w:szCs w:val="24"/>
          <w:lang w:val="en-PH"/>
        </w:rPr>
        <w:t>due to the agency’s inadequate identification of issues and concerns pertaining to GAD that could be integrated in their regular activities</w:t>
      </w:r>
      <w:r w:rsidR="00FD0A18">
        <w:rPr>
          <w:rFonts w:ascii="Times New Roman" w:hAnsi="Times New Roman" w:cs="Times New Roman"/>
          <w:sz w:val="24"/>
          <w:szCs w:val="24"/>
          <w:lang w:val="en-PH"/>
        </w:rPr>
        <w:t xml:space="preserve">. </w:t>
      </w:r>
      <w:r w:rsidR="00D86E93">
        <w:rPr>
          <w:rFonts w:ascii="Times New Roman" w:hAnsi="Times New Roman" w:cs="Times New Roman"/>
          <w:sz w:val="24"/>
          <w:szCs w:val="24"/>
          <w:lang w:val="en-PH"/>
        </w:rPr>
        <w:t>The details of its CY 2016</w:t>
      </w:r>
      <w:r w:rsidR="00B30593">
        <w:rPr>
          <w:rFonts w:ascii="Times New Roman" w:hAnsi="Times New Roman" w:cs="Times New Roman"/>
          <w:sz w:val="24"/>
          <w:szCs w:val="24"/>
          <w:lang w:val="en-PH"/>
        </w:rPr>
        <w:t xml:space="preserve"> GPB are as follows:</w:t>
      </w:r>
    </w:p>
    <w:p w:rsidR="00A518D4" w:rsidRDefault="00A518D4" w:rsidP="00352593">
      <w:pPr>
        <w:widowControl w:val="0"/>
        <w:tabs>
          <w:tab w:val="left" w:pos="990"/>
        </w:tabs>
        <w:suppressAutoHyphens/>
        <w:overflowPunct w:val="0"/>
        <w:spacing w:after="0" w:line="240" w:lineRule="auto"/>
        <w:ind w:left="990"/>
        <w:contextualSpacing/>
        <w:jc w:val="both"/>
        <w:rPr>
          <w:rFonts w:ascii="Times New Roman" w:hAnsi="Times New Roman" w:cs="Times New Roman"/>
          <w:sz w:val="24"/>
          <w:szCs w:val="24"/>
          <w:lang w:val="en-PH"/>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1800"/>
      </w:tblGrid>
      <w:tr w:rsidR="00337756" w:rsidTr="00CE2DEF">
        <w:tc>
          <w:tcPr>
            <w:tcW w:w="5850" w:type="dxa"/>
            <w:tcBorders>
              <w:top w:val="single" w:sz="4" w:space="0" w:color="auto"/>
              <w:bottom w:val="single" w:sz="4" w:space="0" w:color="auto"/>
            </w:tcBorders>
          </w:tcPr>
          <w:p w:rsidR="00337756" w:rsidRPr="00352593" w:rsidRDefault="00337756" w:rsidP="00352593">
            <w:pPr>
              <w:widowControl w:val="0"/>
              <w:tabs>
                <w:tab w:val="left" w:pos="990"/>
              </w:tabs>
              <w:suppressAutoHyphens/>
              <w:overflowPunct w:val="0"/>
              <w:spacing w:after="0" w:line="240" w:lineRule="auto"/>
              <w:contextualSpacing/>
              <w:jc w:val="center"/>
              <w:rPr>
                <w:rFonts w:ascii="Times New Roman" w:hAnsi="Times New Roman" w:cs="Times New Roman"/>
                <w:b/>
                <w:sz w:val="20"/>
                <w:szCs w:val="20"/>
                <w:lang w:val="en-PH"/>
              </w:rPr>
            </w:pPr>
            <w:r w:rsidRPr="00352593">
              <w:rPr>
                <w:rFonts w:ascii="Times New Roman" w:hAnsi="Times New Roman" w:cs="Times New Roman"/>
                <w:b/>
                <w:sz w:val="20"/>
                <w:szCs w:val="20"/>
                <w:lang w:val="en-PH"/>
              </w:rPr>
              <w:t>GAD Activity</w:t>
            </w:r>
          </w:p>
        </w:tc>
        <w:tc>
          <w:tcPr>
            <w:tcW w:w="1800" w:type="dxa"/>
            <w:tcBorders>
              <w:top w:val="single" w:sz="4" w:space="0" w:color="auto"/>
              <w:bottom w:val="single" w:sz="4" w:space="0" w:color="auto"/>
            </w:tcBorders>
          </w:tcPr>
          <w:p w:rsidR="00337756" w:rsidRPr="00352593" w:rsidRDefault="00337756" w:rsidP="00352593">
            <w:pPr>
              <w:widowControl w:val="0"/>
              <w:tabs>
                <w:tab w:val="left" w:pos="990"/>
              </w:tabs>
              <w:suppressAutoHyphens/>
              <w:overflowPunct w:val="0"/>
              <w:spacing w:after="0" w:line="240" w:lineRule="auto"/>
              <w:contextualSpacing/>
              <w:rPr>
                <w:rFonts w:ascii="Times New Roman" w:hAnsi="Times New Roman" w:cs="Times New Roman"/>
                <w:b/>
                <w:sz w:val="20"/>
                <w:szCs w:val="20"/>
                <w:lang w:val="en-PH"/>
              </w:rPr>
            </w:pPr>
            <w:r w:rsidRPr="00352593">
              <w:rPr>
                <w:rFonts w:ascii="Times New Roman" w:hAnsi="Times New Roman" w:cs="Times New Roman"/>
                <w:b/>
                <w:sz w:val="20"/>
                <w:szCs w:val="20"/>
                <w:lang w:val="en-PH"/>
              </w:rPr>
              <w:t>Budget</w:t>
            </w:r>
            <w:r w:rsidR="00E42A28">
              <w:rPr>
                <w:rFonts w:ascii="Times New Roman" w:hAnsi="Times New Roman" w:cs="Times New Roman"/>
                <w:b/>
                <w:sz w:val="20"/>
                <w:szCs w:val="20"/>
                <w:lang w:val="en-PH"/>
              </w:rPr>
              <w:t>ed Amount</w:t>
            </w:r>
          </w:p>
        </w:tc>
      </w:tr>
      <w:tr w:rsidR="00265EEE" w:rsidTr="00CE2DEF">
        <w:tc>
          <w:tcPr>
            <w:tcW w:w="5850" w:type="dxa"/>
            <w:tcBorders>
              <w:top w:val="single" w:sz="4" w:space="0" w:color="auto"/>
            </w:tcBorders>
          </w:tcPr>
          <w:p w:rsidR="00265EEE" w:rsidRPr="00352593" w:rsidRDefault="00265EEE">
            <w:pPr>
              <w:widowControl w:val="0"/>
              <w:tabs>
                <w:tab w:val="left" w:pos="990"/>
              </w:tabs>
              <w:suppressAutoHyphens/>
              <w:overflowPunct w:val="0"/>
              <w:spacing w:after="0" w:line="240" w:lineRule="auto"/>
              <w:contextualSpacing/>
              <w:jc w:val="both"/>
              <w:rPr>
                <w:rFonts w:ascii="Times New Roman" w:hAnsi="Times New Roman" w:cs="Times New Roman"/>
                <w:b/>
                <w:sz w:val="20"/>
                <w:szCs w:val="20"/>
                <w:lang w:val="en-PH"/>
              </w:rPr>
            </w:pPr>
            <w:r w:rsidRPr="00352593">
              <w:rPr>
                <w:rFonts w:ascii="Times New Roman" w:hAnsi="Times New Roman" w:cs="Times New Roman"/>
                <w:b/>
                <w:sz w:val="20"/>
                <w:szCs w:val="20"/>
                <w:lang w:val="en-PH"/>
              </w:rPr>
              <w:t>Client-focused Activities:</w:t>
            </w:r>
          </w:p>
        </w:tc>
        <w:tc>
          <w:tcPr>
            <w:tcW w:w="1800" w:type="dxa"/>
            <w:tcBorders>
              <w:top w:val="single" w:sz="4" w:space="0" w:color="auto"/>
            </w:tcBorders>
          </w:tcPr>
          <w:p w:rsidR="00265EEE" w:rsidRPr="00265EEE" w:rsidRDefault="00265EEE" w:rsidP="00337756">
            <w:pPr>
              <w:spacing w:after="0" w:line="240" w:lineRule="auto"/>
              <w:jc w:val="right"/>
              <w:rPr>
                <w:rFonts w:ascii="Times New Roman" w:hAnsi="Times New Roman" w:cs="Times New Roman"/>
                <w:color w:val="000000"/>
                <w:sz w:val="20"/>
                <w:szCs w:val="20"/>
              </w:rPr>
            </w:pPr>
          </w:p>
        </w:tc>
      </w:tr>
      <w:tr w:rsidR="00337756" w:rsidTr="00CE2DEF">
        <w:tc>
          <w:tcPr>
            <w:tcW w:w="5850" w:type="dxa"/>
          </w:tcPr>
          <w:p w:rsidR="00337756" w:rsidRPr="00352593" w:rsidRDefault="00337756" w:rsidP="00F645DB">
            <w:pPr>
              <w:widowControl w:val="0"/>
              <w:tabs>
                <w:tab w:val="left" w:pos="990"/>
              </w:tabs>
              <w:suppressAutoHyphens/>
              <w:overflowPunct w:val="0"/>
              <w:spacing w:after="0" w:line="240" w:lineRule="auto"/>
              <w:contextualSpacing/>
              <w:rPr>
                <w:rFonts w:ascii="Times New Roman" w:hAnsi="Times New Roman" w:cs="Times New Roman"/>
                <w:sz w:val="20"/>
                <w:szCs w:val="20"/>
                <w:lang w:val="en-PH"/>
              </w:rPr>
            </w:pPr>
            <w:r w:rsidRPr="00352593">
              <w:rPr>
                <w:rFonts w:ascii="Times New Roman" w:hAnsi="Times New Roman" w:cs="Times New Roman"/>
                <w:sz w:val="20"/>
                <w:szCs w:val="20"/>
                <w:lang w:val="en-PH"/>
              </w:rPr>
              <w:t>1. Maintain and update GAD sub-section in the SET website</w:t>
            </w:r>
          </w:p>
        </w:tc>
        <w:tc>
          <w:tcPr>
            <w:tcW w:w="1800" w:type="dxa"/>
          </w:tcPr>
          <w:p w:rsidR="00337756" w:rsidRPr="00352593" w:rsidRDefault="00337756" w:rsidP="00352593">
            <w:pPr>
              <w:spacing w:after="0" w:line="240" w:lineRule="auto"/>
              <w:jc w:val="right"/>
              <w:rPr>
                <w:rFonts w:ascii="Times New Roman" w:hAnsi="Times New Roman" w:cs="Times New Roman"/>
                <w:color w:val="000000"/>
                <w:sz w:val="20"/>
                <w:szCs w:val="20"/>
              </w:rPr>
            </w:pPr>
            <w:r w:rsidRPr="00352593">
              <w:rPr>
                <w:rFonts w:ascii="Times New Roman" w:hAnsi="Times New Roman" w:cs="Times New Roman"/>
                <w:color w:val="000000"/>
                <w:sz w:val="20"/>
                <w:szCs w:val="20"/>
              </w:rPr>
              <w:t xml:space="preserve">       </w:t>
            </w:r>
            <w:r w:rsidR="00265EEE" w:rsidRPr="00352593">
              <w:rPr>
                <w:rFonts w:ascii="Times New Roman" w:hAnsi="Times New Roman" w:cs="Times New Roman"/>
                <w:dstrike/>
                <w:sz w:val="20"/>
                <w:szCs w:val="20"/>
                <w:lang w:val="en-PH"/>
              </w:rPr>
              <w:t>P</w:t>
            </w:r>
            <w:r w:rsidR="00265EEE" w:rsidRPr="00265EEE">
              <w:rPr>
                <w:rFonts w:ascii="Times New Roman" w:hAnsi="Times New Roman" w:cs="Times New Roman"/>
                <w:color w:val="000000"/>
                <w:sz w:val="20"/>
                <w:szCs w:val="20"/>
              </w:rPr>
              <w:t xml:space="preserve"> </w:t>
            </w:r>
            <w:r w:rsidR="00265EEE">
              <w:rPr>
                <w:rFonts w:ascii="Times New Roman" w:hAnsi="Times New Roman" w:cs="Times New Roman"/>
                <w:color w:val="000000"/>
                <w:sz w:val="20"/>
                <w:szCs w:val="20"/>
              </w:rPr>
              <w:t xml:space="preserve">    </w:t>
            </w:r>
            <w:r w:rsidRPr="00352593">
              <w:rPr>
                <w:rFonts w:ascii="Times New Roman" w:hAnsi="Times New Roman" w:cs="Times New Roman"/>
                <w:color w:val="000000"/>
                <w:sz w:val="20"/>
                <w:szCs w:val="20"/>
              </w:rPr>
              <w:t xml:space="preserve">50,000.00 </w:t>
            </w:r>
          </w:p>
        </w:tc>
      </w:tr>
      <w:tr w:rsidR="00337756" w:rsidTr="00CE2DEF">
        <w:tc>
          <w:tcPr>
            <w:tcW w:w="5850" w:type="dxa"/>
          </w:tcPr>
          <w:p w:rsidR="00337756" w:rsidRPr="00352593" w:rsidRDefault="00337756" w:rsidP="00445D93">
            <w:pPr>
              <w:widowControl w:val="0"/>
              <w:tabs>
                <w:tab w:val="left" w:pos="990"/>
              </w:tabs>
              <w:suppressAutoHyphens/>
              <w:overflowPunct w:val="0"/>
              <w:spacing w:after="0" w:line="240" w:lineRule="auto"/>
              <w:ind w:left="360" w:hanging="360"/>
              <w:contextualSpacing/>
              <w:rPr>
                <w:rFonts w:ascii="Times New Roman" w:hAnsi="Times New Roman" w:cs="Times New Roman"/>
                <w:sz w:val="20"/>
                <w:szCs w:val="20"/>
                <w:lang w:val="en-PH"/>
              </w:rPr>
            </w:pPr>
            <w:r w:rsidRPr="00352593">
              <w:rPr>
                <w:rFonts w:ascii="Times New Roman" w:hAnsi="Times New Roman" w:cs="Times New Roman"/>
                <w:sz w:val="20"/>
                <w:szCs w:val="20"/>
                <w:lang w:val="en-PH"/>
              </w:rPr>
              <w:t>2. Create a senatorial protest sex di</w:t>
            </w:r>
            <w:r w:rsidR="003C1AE6">
              <w:rPr>
                <w:rFonts w:ascii="Times New Roman" w:hAnsi="Times New Roman" w:cs="Times New Roman"/>
                <w:sz w:val="20"/>
                <w:szCs w:val="20"/>
                <w:lang w:val="en-PH"/>
              </w:rPr>
              <w:t xml:space="preserve">saggregated database on the GAD </w:t>
            </w:r>
            <w:r w:rsidRPr="00352593">
              <w:rPr>
                <w:rFonts w:ascii="Times New Roman" w:hAnsi="Times New Roman" w:cs="Times New Roman"/>
                <w:sz w:val="20"/>
                <w:szCs w:val="20"/>
                <w:lang w:val="en-PH"/>
              </w:rPr>
              <w:t>sub-section in the SET website</w:t>
            </w:r>
          </w:p>
        </w:tc>
        <w:tc>
          <w:tcPr>
            <w:tcW w:w="1800" w:type="dxa"/>
          </w:tcPr>
          <w:p w:rsidR="00445D93" w:rsidRDefault="00337756" w:rsidP="00352593">
            <w:pPr>
              <w:spacing w:after="0" w:line="240" w:lineRule="auto"/>
              <w:jc w:val="right"/>
              <w:rPr>
                <w:rFonts w:ascii="Times New Roman" w:hAnsi="Times New Roman" w:cs="Times New Roman"/>
                <w:color w:val="000000"/>
                <w:sz w:val="20"/>
                <w:szCs w:val="20"/>
              </w:rPr>
            </w:pPr>
            <w:r w:rsidRPr="00352593">
              <w:rPr>
                <w:rFonts w:ascii="Times New Roman" w:hAnsi="Times New Roman" w:cs="Times New Roman"/>
                <w:color w:val="000000"/>
                <w:sz w:val="20"/>
                <w:szCs w:val="20"/>
              </w:rPr>
              <w:t xml:space="preserve">         </w:t>
            </w:r>
          </w:p>
          <w:p w:rsidR="00337756" w:rsidRPr="00352593" w:rsidRDefault="00337756" w:rsidP="00352593">
            <w:pPr>
              <w:spacing w:after="0" w:line="240" w:lineRule="auto"/>
              <w:jc w:val="right"/>
              <w:rPr>
                <w:rFonts w:ascii="Times New Roman" w:hAnsi="Times New Roman" w:cs="Times New Roman"/>
                <w:color w:val="000000"/>
                <w:sz w:val="20"/>
                <w:szCs w:val="20"/>
              </w:rPr>
            </w:pPr>
            <w:r w:rsidRPr="00352593">
              <w:rPr>
                <w:rFonts w:ascii="Times New Roman" w:hAnsi="Times New Roman" w:cs="Times New Roman"/>
                <w:color w:val="000000"/>
                <w:sz w:val="20"/>
                <w:szCs w:val="20"/>
              </w:rPr>
              <w:t xml:space="preserve">10,000.00 </w:t>
            </w:r>
          </w:p>
        </w:tc>
      </w:tr>
      <w:tr w:rsidR="00265EEE" w:rsidTr="00CE2DEF">
        <w:tc>
          <w:tcPr>
            <w:tcW w:w="5850" w:type="dxa"/>
          </w:tcPr>
          <w:p w:rsidR="00265EEE" w:rsidRPr="00352593" w:rsidRDefault="00265EEE" w:rsidP="003C1AE6">
            <w:pPr>
              <w:widowControl w:val="0"/>
              <w:tabs>
                <w:tab w:val="left" w:pos="990"/>
              </w:tabs>
              <w:suppressAutoHyphens/>
              <w:overflowPunct w:val="0"/>
              <w:spacing w:after="0" w:line="240" w:lineRule="auto"/>
              <w:ind w:left="342" w:hanging="342"/>
              <w:contextualSpacing/>
              <w:jc w:val="both"/>
              <w:rPr>
                <w:rFonts w:ascii="Times New Roman" w:hAnsi="Times New Roman" w:cs="Times New Roman"/>
                <w:b/>
                <w:sz w:val="20"/>
                <w:szCs w:val="20"/>
                <w:lang w:val="en-PH"/>
              </w:rPr>
            </w:pPr>
            <w:r w:rsidRPr="00352593">
              <w:rPr>
                <w:rFonts w:ascii="Times New Roman" w:hAnsi="Times New Roman" w:cs="Times New Roman"/>
                <w:b/>
                <w:sz w:val="20"/>
                <w:szCs w:val="20"/>
                <w:lang w:val="en-PH"/>
              </w:rPr>
              <w:t>Organization-focused Activities:</w:t>
            </w:r>
          </w:p>
        </w:tc>
        <w:tc>
          <w:tcPr>
            <w:tcW w:w="1800" w:type="dxa"/>
          </w:tcPr>
          <w:p w:rsidR="00265EEE" w:rsidRPr="00337756" w:rsidRDefault="00265EEE" w:rsidP="00337756">
            <w:pPr>
              <w:spacing w:after="0" w:line="240" w:lineRule="auto"/>
              <w:jc w:val="right"/>
              <w:rPr>
                <w:rFonts w:ascii="Times New Roman" w:hAnsi="Times New Roman" w:cs="Times New Roman"/>
                <w:color w:val="000000"/>
                <w:sz w:val="20"/>
                <w:szCs w:val="20"/>
              </w:rPr>
            </w:pPr>
          </w:p>
        </w:tc>
      </w:tr>
      <w:tr w:rsidR="00337756" w:rsidTr="00CE2DEF">
        <w:tc>
          <w:tcPr>
            <w:tcW w:w="5850" w:type="dxa"/>
          </w:tcPr>
          <w:p w:rsidR="00337756" w:rsidRPr="00352593" w:rsidRDefault="00337756" w:rsidP="00445D93">
            <w:pPr>
              <w:widowControl w:val="0"/>
              <w:tabs>
                <w:tab w:val="left" w:pos="990"/>
              </w:tabs>
              <w:suppressAutoHyphens/>
              <w:overflowPunct w:val="0"/>
              <w:spacing w:after="0" w:line="240" w:lineRule="auto"/>
              <w:ind w:left="360" w:hanging="342"/>
              <w:contextualSpacing/>
              <w:rPr>
                <w:rFonts w:ascii="Times New Roman" w:hAnsi="Times New Roman" w:cs="Times New Roman"/>
                <w:sz w:val="20"/>
                <w:szCs w:val="20"/>
                <w:lang w:val="en-PH"/>
              </w:rPr>
            </w:pPr>
            <w:r w:rsidRPr="00337756">
              <w:rPr>
                <w:rFonts w:ascii="Times New Roman" w:hAnsi="Times New Roman" w:cs="Times New Roman"/>
                <w:sz w:val="20"/>
                <w:szCs w:val="20"/>
                <w:lang w:val="en-PH"/>
              </w:rPr>
              <w:t>3. Submission to PCW of FY 2015 Accomplishment Report and FY 2017 GAD Plan and Budget</w:t>
            </w:r>
          </w:p>
        </w:tc>
        <w:tc>
          <w:tcPr>
            <w:tcW w:w="1800" w:type="dxa"/>
          </w:tcPr>
          <w:p w:rsidR="00445D93" w:rsidRDefault="00337756" w:rsidP="00352593">
            <w:pPr>
              <w:spacing w:after="0" w:line="240" w:lineRule="auto"/>
              <w:jc w:val="right"/>
              <w:rPr>
                <w:rFonts w:ascii="Times New Roman" w:hAnsi="Times New Roman" w:cs="Times New Roman"/>
                <w:color w:val="000000"/>
                <w:sz w:val="20"/>
                <w:szCs w:val="20"/>
              </w:rPr>
            </w:pPr>
            <w:r w:rsidRPr="00352593">
              <w:rPr>
                <w:rFonts w:ascii="Times New Roman" w:hAnsi="Times New Roman" w:cs="Times New Roman"/>
                <w:color w:val="000000"/>
                <w:sz w:val="20"/>
                <w:szCs w:val="20"/>
              </w:rPr>
              <w:t xml:space="preserve">          </w:t>
            </w:r>
          </w:p>
          <w:p w:rsidR="00337756" w:rsidRPr="00352593" w:rsidRDefault="00337756" w:rsidP="00352593">
            <w:pPr>
              <w:spacing w:after="0" w:line="240" w:lineRule="auto"/>
              <w:jc w:val="right"/>
              <w:rPr>
                <w:rFonts w:ascii="Times New Roman" w:hAnsi="Times New Roman" w:cs="Times New Roman"/>
                <w:color w:val="000000"/>
                <w:sz w:val="20"/>
                <w:szCs w:val="20"/>
              </w:rPr>
            </w:pPr>
            <w:r w:rsidRPr="00352593">
              <w:rPr>
                <w:rFonts w:ascii="Times New Roman" w:hAnsi="Times New Roman" w:cs="Times New Roman"/>
                <w:color w:val="000000"/>
                <w:sz w:val="20"/>
                <w:szCs w:val="20"/>
              </w:rPr>
              <w:t xml:space="preserve"> 5,000.00 </w:t>
            </w:r>
          </w:p>
        </w:tc>
      </w:tr>
      <w:tr w:rsidR="00337756" w:rsidTr="00CE2DEF">
        <w:tc>
          <w:tcPr>
            <w:tcW w:w="5850" w:type="dxa"/>
          </w:tcPr>
          <w:p w:rsidR="00337756" w:rsidRPr="00352593" w:rsidRDefault="00F645DB" w:rsidP="00445D93">
            <w:pPr>
              <w:widowControl w:val="0"/>
              <w:tabs>
                <w:tab w:val="left" w:pos="990"/>
              </w:tabs>
              <w:suppressAutoHyphens/>
              <w:overflowPunct w:val="0"/>
              <w:spacing w:after="0" w:line="240" w:lineRule="auto"/>
              <w:ind w:left="360" w:hanging="360"/>
              <w:contextualSpacing/>
              <w:rPr>
                <w:rFonts w:ascii="Times New Roman" w:hAnsi="Times New Roman" w:cs="Times New Roman"/>
                <w:sz w:val="20"/>
                <w:szCs w:val="20"/>
                <w:lang w:val="en-PH"/>
              </w:rPr>
            </w:pPr>
            <w:r>
              <w:rPr>
                <w:rFonts w:ascii="Times New Roman" w:hAnsi="Times New Roman" w:cs="Times New Roman"/>
                <w:sz w:val="20"/>
                <w:szCs w:val="20"/>
                <w:lang w:val="en-PH"/>
              </w:rPr>
              <w:t xml:space="preserve">4. </w:t>
            </w:r>
            <w:r w:rsidR="00337756" w:rsidRPr="00337756">
              <w:rPr>
                <w:rFonts w:ascii="Times New Roman" w:hAnsi="Times New Roman" w:cs="Times New Roman"/>
                <w:sz w:val="20"/>
                <w:szCs w:val="20"/>
                <w:lang w:val="en-PH"/>
              </w:rPr>
              <w:t xml:space="preserve">Submission to COA of the PCW endorsed FY 2015 </w:t>
            </w:r>
            <w:r w:rsidRPr="00337756">
              <w:rPr>
                <w:rFonts w:ascii="Times New Roman" w:hAnsi="Times New Roman" w:cs="Times New Roman"/>
                <w:sz w:val="20"/>
                <w:szCs w:val="20"/>
                <w:lang w:val="en-PH"/>
              </w:rPr>
              <w:t>Accomplishment Report and FY 2017 GAD Plan and Budget</w:t>
            </w:r>
          </w:p>
        </w:tc>
        <w:tc>
          <w:tcPr>
            <w:tcW w:w="1800" w:type="dxa"/>
          </w:tcPr>
          <w:p w:rsidR="00445D93" w:rsidRDefault="00445D93" w:rsidP="00352593">
            <w:pPr>
              <w:spacing w:after="0" w:line="240" w:lineRule="auto"/>
              <w:jc w:val="right"/>
              <w:rPr>
                <w:rFonts w:ascii="Times New Roman" w:hAnsi="Times New Roman" w:cs="Times New Roman"/>
                <w:color w:val="000000"/>
                <w:sz w:val="20"/>
                <w:szCs w:val="20"/>
              </w:rPr>
            </w:pPr>
          </w:p>
          <w:p w:rsidR="00337756" w:rsidRPr="00352593" w:rsidRDefault="00565EE5" w:rsidP="00352593">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337756" w:rsidTr="00CE2DEF">
        <w:tc>
          <w:tcPr>
            <w:tcW w:w="5850" w:type="dxa"/>
          </w:tcPr>
          <w:p w:rsidR="00337756" w:rsidRPr="00352593" w:rsidRDefault="00337756" w:rsidP="00445D93">
            <w:pPr>
              <w:widowControl w:val="0"/>
              <w:tabs>
                <w:tab w:val="left" w:pos="990"/>
              </w:tabs>
              <w:suppressAutoHyphens/>
              <w:overflowPunct w:val="0"/>
              <w:spacing w:after="0" w:line="240" w:lineRule="auto"/>
              <w:ind w:left="360" w:hanging="360"/>
              <w:contextualSpacing/>
              <w:rPr>
                <w:rFonts w:ascii="Times New Roman" w:hAnsi="Times New Roman" w:cs="Times New Roman"/>
                <w:sz w:val="20"/>
                <w:szCs w:val="20"/>
                <w:lang w:val="en-PH"/>
              </w:rPr>
            </w:pPr>
            <w:r w:rsidRPr="00337756">
              <w:rPr>
                <w:rFonts w:ascii="Times New Roman" w:hAnsi="Times New Roman" w:cs="Times New Roman"/>
                <w:sz w:val="20"/>
                <w:szCs w:val="20"/>
                <w:lang w:val="en-PH"/>
              </w:rPr>
              <w:t>5. Conduct of pre-planning conference to assess SET performance in the implementation of its GAD Plan and Budget for FY 2016</w:t>
            </w:r>
          </w:p>
        </w:tc>
        <w:tc>
          <w:tcPr>
            <w:tcW w:w="1800" w:type="dxa"/>
          </w:tcPr>
          <w:p w:rsidR="00445D93" w:rsidRDefault="00337756" w:rsidP="00352593">
            <w:pPr>
              <w:spacing w:after="0" w:line="240" w:lineRule="auto"/>
              <w:jc w:val="right"/>
              <w:rPr>
                <w:rFonts w:ascii="Times New Roman" w:hAnsi="Times New Roman" w:cs="Times New Roman"/>
                <w:color w:val="000000"/>
                <w:sz w:val="20"/>
                <w:szCs w:val="20"/>
              </w:rPr>
            </w:pPr>
            <w:r w:rsidRPr="00352593">
              <w:rPr>
                <w:rFonts w:ascii="Times New Roman" w:hAnsi="Times New Roman" w:cs="Times New Roman"/>
                <w:color w:val="000000"/>
                <w:sz w:val="20"/>
                <w:szCs w:val="20"/>
              </w:rPr>
              <w:t xml:space="preserve">         </w:t>
            </w:r>
          </w:p>
          <w:p w:rsidR="00337756" w:rsidRPr="00352593" w:rsidRDefault="00337756" w:rsidP="00352593">
            <w:pPr>
              <w:spacing w:after="0" w:line="240" w:lineRule="auto"/>
              <w:jc w:val="right"/>
              <w:rPr>
                <w:rFonts w:ascii="Times New Roman" w:hAnsi="Times New Roman" w:cs="Times New Roman"/>
                <w:color w:val="000000"/>
                <w:sz w:val="20"/>
                <w:szCs w:val="20"/>
              </w:rPr>
            </w:pPr>
            <w:r w:rsidRPr="00352593">
              <w:rPr>
                <w:rFonts w:ascii="Times New Roman" w:hAnsi="Times New Roman" w:cs="Times New Roman"/>
                <w:color w:val="000000"/>
                <w:sz w:val="20"/>
                <w:szCs w:val="20"/>
              </w:rPr>
              <w:t xml:space="preserve">10,000.00 </w:t>
            </w:r>
          </w:p>
        </w:tc>
      </w:tr>
      <w:tr w:rsidR="00337756" w:rsidTr="00CE2DEF">
        <w:tc>
          <w:tcPr>
            <w:tcW w:w="5850" w:type="dxa"/>
          </w:tcPr>
          <w:p w:rsidR="00337756" w:rsidRPr="00337756" w:rsidRDefault="00337756" w:rsidP="00445D93">
            <w:pPr>
              <w:widowControl w:val="0"/>
              <w:tabs>
                <w:tab w:val="left" w:pos="990"/>
              </w:tabs>
              <w:suppressAutoHyphens/>
              <w:overflowPunct w:val="0"/>
              <w:spacing w:after="0" w:line="240" w:lineRule="auto"/>
              <w:contextualSpacing/>
              <w:rPr>
                <w:rFonts w:ascii="Times New Roman" w:hAnsi="Times New Roman" w:cs="Times New Roman"/>
                <w:sz w:val="20"/>
                <w:szCs w:val="20"/>
                <w:lang w:val="en-PH"/>
              </w:rPr>
            </w:pPr>
            <w:r w:rsidRPr="00337756">
              <w:rPr>
                <w:rFonts w:ascii="Times New Roman" w:hAnsi="Times New Roman" w:cs="Times New Roman"/>
                <w:sz w:val="20"/>
                <w:szCs w:val="20"/>
                <w:lang w:val="en-PH"/>
              </w:rPr>
              <w:t>6. Conduct GAD Planning and Budgeting Workshop for FY 2018</w:t>
            </w:r>
          </w:p>
        </w:tc>
        <w:tc>
          <w:tcPr>
            <w:tcW w:w="1800" w:type="dxa"/>
          </w:tcPr>
          <w:p w:rsidR="00337756" w:rsidRPr="00352593" w:rsidRDefault="00337756" w:rsidP="00352593">
            <w:pPr>
              <w:spacing w:after="0" w:line="240" w:lineRule="auto"/>
              <w:jc w:val="right"/>
              <w:rPr>
                <w:rFonts w:ascii="Times New Roman" w:hAnsi="Times New Roman" w:cs="Times New Roman"/>
                <w:color w:val="000000"/>
                <w:sz w:val="20"/>
                <w:szCs w:val="20"/>
              </w:rPr>
            </w:pPr>
            <w:r w:rsidRPr="00352593">
              <w:rPr>
                <w:rFonts w:ascii="Times New Roman" w:hAnsi="Times New Roman" w:cs="Times New Roman"/>
                <w:color w:val="000000"/>
                <w:sz w:val="20"/>
                <w:szCs w:val="20"/>
              </w:rPr>
              <w:t xml:space="preserve">       300,000.00 </w:t>
            </w:r>
          </w:p>
        </w:tc>
      </w:tr>
      <w:tr w:rsidR="00337756" w:rsidTr="00CE2DEF">
        <w:tc>
          <w:tcPr>
            <w:tcW w:w="5850" w:type="dxa"/>
          </w:tcPr>
          <w:p w:rsidR="00337756" w:rsidRPr="00337756" w:rsidRDefault="00337756" w:rsidP="00445D93">
            <w:pPr>
              <w:widowControl w:val="0"/>
              <w:tabs>
                <w:tab w:val="left" w:pos="990"/>
              </w:tabs>
              <w:suppressAutoHyphens/>
              <w:overflowPunct w:val="0"/>
              <w:spacing w:after="0" w:line="240" w:lineRule="auto"/>
              <w:ind w:left="360" w:hanging="360"/>
              <w:contextualSpacing/>
              <w:rPr>
                <w:rFonts w:ascii="Times New Roman" w:hAnsi="Times New Roman" w:cs="Times New Roman"/>
                <w:sz w:val="20"/>
                <w:szCs w:val="20"/>
                <w:lang w:val="en-PH"/>
              </w:rPr>
            </w:pPr>
            <w:r w:rsidRPr="00337756">
              <w:rPr>
                <w:rFonts w:ascii="Times New Roman" w:hAnsi="Times New Roman" w:cs="Times New Roman"/>
                <w:sz w:val="20"/>
                <w:szCs w:val="20"/>
                <w:lang w:val="en-PH"/>
              </w:rPr>
              <w:t>7. Gender Sensitivity Trainings (GST) Deepening Sessions: Maintain Gender Focus Discussion Group with trained facilitators</w:t>
            </w:r>
          </w:p>
        </w:tc>
        <w:tc>
          <w:tcPr>
            <w:tcW w:w="1800" w:type="dxa"/>
          </w:tcPr>
          <w:p w:rsidR="00445D93" w:rsidRDefault="00337756" w:rsidP="00352593">
            <w:pPr>
              <w:spacing w:after="0" w:line="240" w:lineRule="auto"/>
              <w:jc w:val="right"/>
              <w:rPr>
                <w:rFonts w:ascii="Times New Roman" w:hAnsi="Times New Roman" w:cs="Times New Roman"/>
                <w:color w:val="000000"/>
                <w:sz w:val="20"/>
                <w:szCs w:val="20"/>
              </w:rPr>
            </w:pPr>
            <w:r w:rsidRPr="00352593">
              <w:rPr>
                <w:rFonts w:ascii="Times New Roman" w:hAnsi="Times New Roman" w:cs="Times New Roman"/>
                <w:color w:val="000000"/>
                <w:sz w:val="20"/>
                <w:szCs w:val="20"/>
              </w:rPr>
              <w:t xml:space="preserve">       </w:t>
            </w:r>
          </w:p>
          <w:p w:rsidR="00337756" w:rsidRPr="00352593" w:rsidRDefault="00337756" w:rsidP="00352593">
            <w:pPr>
              <w:spacing w:after="0" w:line="240" w:lineRule="auto"/>
              <w:jc w:val="right"/>
              <w:rPr>
                <w:rFonts w:ascii="Times New Roman" w:hAnsi="Times New Roman" w:cs="Times New Roman"/>
                <w:color w:val="000000"/>
                <w:sz w:val="20"/>
                <w:szCs w:val="20"/>
              </w:rPr>
            </w:pPr>
            <w:r w:rsidRPr="00352593">
              <w:rPr>
                <w:rFonts w:ascii="Times New Roman" w:hAnsi="Times New Roman" w:cs="Times New Roman"/>
                <w:color w:val="000000"/>
                <w:sz w:val="20"/>
                <w:szCs w:val="20"/>
              </w:rPr>
              <w:t xml:space="preserve">350,000.00 </w:t>
            </w:r>
          </w:p>
        </w:tc>
      </w:tr>
      <w:tr w:rsidR="00337756" w:rsidTr="00CE2DEF">
        <w:tc>
          <w:tcPr>
            <w:tcW w:w="5850" w:type="dxa"/>
          </w:tcPr>
          <w:p w:rsidR="00337756" w:rsidRPr="00337756" w:rsidRDefault="00337756" w:rsidP="00445D93">
            <w:pPr>
              <w:widowControl w:val="0"/>
              <w:tabs>
                <w:tab w:val="left" w:pos="990"/>
              </w:tabs>
              <w:suppressAutoHyphens/>
              <w:overflowPunct w:val="0"/>
              <w:spacing w:after="0" w:line="240" w:lineRule="auto"/>
              <w:ind w:left="360" w:hanging="360"/>
              <w:contextualSpacing/>
              <w:rPr>
                <w:rFonts w:ascii="Times New Roman" w:hAnsi="Times New Roman" w:cs="Times New Roman"/>
                <w:sz w:val="20"/>
                <w:szCs w:val="20"/>
                <w:lang w:val="en-PH"/>
              </w:rPr>
            </w:pPr>
            <w:r w:rsidRPr="00337756">
              <w:rPr>
                <w:rFonts w:ascii="Times New Roman" w:hAnsi="Times New Roman" w:cs="Times New Roman"/>
                <w:sz w:val="20"/>
                <w:szCs w:val="20"/>
                <w:lang w:val="en-PH"/>
              </w:rPr>
              <w:t>8. Workshop on issue-ba</w:t>
            </w:r>
            <w:r w:rsidR="00EF1FD0">
              <w:rPr>
                <w:rFonts w:ascii="Times New Roman" w:hAnsi="Times New Roman" w:cs="Times New Roman"/>
                <w:sz w:val="20"/>
                <w:szCs w:val="20"/>
                <w:lang w:val="en-PH"/>
              </w:rPr>
              <w:t>sed gender training for the GAD Focal Point System</w:t>
            </w:r>
          </w:p>
        </w:tc>
        <w:tc>
          <w:tcPr>
            <w:tcW w:w="1800" w:type="dxa"/>
          </w:tcPr>
          <w:p w:rsidR="00445D93" w:rsidRDefault="00337756" w:rsidP="00352593">
            <w:pPr>
              <w:spacing w:after="0" w:line="240" w:lineRule="auto"/>
              <w:jc w:val="right"/>
              <w:rPr>
                <w:rFonts w:ascii="Times New Roman" w:hAnsi="Times New Roman" w:cs="Times New Roman"/>
                <w:color w:val="000000"/>
                <w:sz w:val="20"/>
                <w:szCs w:val="20"/>
              </w:rPr>
            </w:pPr>
            <w:r w:rsidRPr="00352593">
              <w:rPr>
                <w:rFonts w:ascii="Times New Roman" w:hAnsi="Times New Roman" w:cs="Times New Roman"/>
                <w:color w:val="000000"/>
                <w:sz w:val="20"/>
                <w:szCs w:val="20"/>
              </w:rPr>
              <w:t xml:space="preserve">       </w:t>
            </w:r>
          </w:p>
          <w:p w:rsidR="00337756" w:rsidRPr="00352593" w:rsidRDefault="00337756" w:rsidP="00352593">
            <w:pPr>
              <w:spacing w:after="0" w:line="240" w:lineRule="auto"/>
              <w:jc w:val="right"/>
              <w:rPr>
                <w:rFonts w:ascii="Times New Roman" w:hAnsi="Times New Roman" w:cs="Times New Roman"/>
                <w:color w:val="000000"/>
                <w:sz w:val="20"/>
                <w:szCs w:val="20"/>
              </w:rPr>
            </w:pPr>
            <w:r w:rsidRPr="00352593">
              <w:rPr>
                <w:rFonts w:ascii="Times New Roman" w:hAnsi="Times New Roman" w:cs="Times New Roman"/>
                <w:color w:val="000000"/>
                <w:sz w:val="20"/>
                <w:szCs w:val="20"/>
              </w:rPr>
              <w:t xml:space="preserve">450,000.00 </w:t>
            </w:r>
          </w:p>
        </w:tc>
      </w:tr>
      <w:tr w:rsidR="00337756" w:rsidTr="00CE2DEF">
        <w:tc>
          <w:tcPr>
            <w:tcW w:w="5850" w:type="dxa"/>
          </w:tcPr>
          <w:p w:rsidR="00337756" w:rsidRPr="00337756" w:rsidRDefault="00337756" w:rsidP="00445D93">
            <w:pPr>
              <w:widowControl w:val="0"/>
              <w:tabs>
                <w:tab w:val="left" w:pos="990"/>
              </w:tabs>
              <w:suppressAutoHyphens/>
              <w:overflowPunct w:val="0"/>
              <w:spacing w:after="0" w:line="240" w:lineRule="auto"/>
              <w:contextualSpacing/>
              <w:rPr>
                <w:rFonts w:ascii="Times New Roman" w:hAnsi="Times New Roman" w:cs="Times New Roman"/>
                <w:sz w:val="20"/>
                <w:szCs w:val="20"/>
                <w:lang w:val="en-PH"/>
              </w:rPr>
            </w:pPr>
            <w:r w:rsidRPr="00337756">
              <w:rPr>
                <w:rFonts w:ascii="Times New Roman" w:hAnsi="Times New Roman" w:cs="Times New Roman"/>
                <w:sz w:val="20"/>
                <w:szCs w:val="20"/>
                <w:lang w:val="en-PH"/>
              </w:rPr>
              <w:t>9. Workshop on issue-based gender training for SET personnel</w:t>
            </w:r>
          </w:p>
        </w:tc>
        <w:tc>
          <w:tcPr>
            <w:tcW w:w="1800" w:type="dxa"/>
          </w:tcPr>
          <w:p w:rsidR="00337756" w:rsidRPr="00352593" w:rsidRDefault="00337756" w:rsidP="00352593">
            <w:pPr>
              <w:spacing w:after="0" w:line="240" w:lineRule="auto"/>
              <w:jc w:val="right"/>
              <w:rPr>
                <w:rFonts w:ascii="Times New Roman" w:hAnsi="Times New Roman" w:cs="Times New Roman"/>
                <w:color w:val="000000"/>
                <w:sz w:val="20"/>
                <w:szCs w:val="20"/>
              </w:rPr>
            </w:pPr>
            <w:r w:rsidRPr="00352593">
              <w:rPr>
                <w:rFonts w:ascii="Times New Roman" w:hAnsi="Times New Roman" w:cs="Times New Roman"/>
                <w:color w:val="000000"/>
                <w:sz w:val="20"/>
                <w:szCs w:val="20"/>
              </w:rPr>
              <w:t xml:space="preserve">       450,000.00 </w:t>
            </w:r>
          </w:p>
        </w:tc>
      </w:tr>
      <w:tr w:rsidR="00337756" w:rsidTr="00CE2DEF">
        <w:tc>
          <w:tcPr>
            <w:tcW w:w="5850" w:type="dxa"/>
          </w:tcPr>
          <w:p w:rsidR="00337756" w:rsidRPr="00337756" w:rsidRDefault="00F645DB" w:rsidP="00445D93">
            <w:pPr>
              <w:widowControl w:val="0"/>
              <w:tabs>
                <w:tab w:val="left" w:pos="990"/>
              </w:tabs>
              <w:suppressAutoHyphens/>
              <w:overflowPunct w:val="0"/>
              <w:spacing w:after="0" w:line="240" w:lineRule="auto"/>
              <w:contextualSpacing/>
              <w:rPr>
                <w:rFonts w:ascii="Times New Roman" w:hAnsi="Times New Roman" w:cs="Times New Roman"/>
                <w:sz w:val="20"/>
                <w:szCs w:val="20"/>
                <w:lang w:val="en-PH"/>
              </w:rPr>
            </w:pPr>
            <w:r>
              <w:rPr>
                <w:rFonts w:ascii="Times New Roman" w:hAnsi="Times New Roman" w:cs="Times New Roman"/>
                <w:sz w:val="20"/>
                <w:szCs w:val="20"/>
                <w:lang w:val="en-PH"/>
              </w:rPr>
              <w:t xml:space="preserve">10. </w:t>
            </w:r>
            <w:r w:rsidR="00337756" w:rsidRPr="00337756">
              <w:rPr>
                <w:rFonts w:ascii="Times New Roman" w:hAnsi="Times New Roman" w:cs="Times New Roman"/>
                <w:sz w:val="20"/>
                <w:szCs w:val="20"/>
                <w:lang w:val="en-PH"/>
              </w:rPr>
              <w:t>Purchase of books and materials for the GAD Corner</w:t>
            </w:r>
          </w:p>
        </w:tc>
        <w:tc>
          <w:tcPr>
            <w:tcW w:w="1800" w:type="dxa"/>
          </w:tcPr>
          <w:p w:rsidR="00337756" w:rsidRPr="00352593" w:rsidRDefault="00337756" w:rsidP="00352593">
            <w:pPr>
              <w:spacing w:after="0" w:line="240" w:lineRule="auto"/>
              <w:jc w:val="right"/>
              <w:rPr>
                <w:rFonts w:ascii="Times New Roman" w:hAnsi="Times New Roman" w:cs="Times New Roman"/>
                <w:color w:val="000000"/>
                <w:sz w:val="20"/>
                <w:szCs w:val="20"/>
              </w:rPr>
            </w:pPr>
            <w:r w:rsidRPr="00352593">
              <w:rPr>
                <w:rFonts w:ascii="Times New Roman" w:hAnsi="Times New Roman" w:cs="Times New Roman"/>
                <w:color w:val="000000"/>
                <w:sz w:val="20"/>
                <w:szCs w:val="20"/>
              </w:rPr>
              <w:t xml:space="preserve">       200,000.00 </w:t>
            </w:r>
          </w:p>
        </w:tc>
      </w:tr>
      <w:tr w:rsidR="00337756" w:rsidTr="00CE2DEF">
        <w:tc>
          <w:tcPr>
            <w:tcW w:w="5850" w:type="dxa"/>
          </w:tcPr>
          <w:p w:rsidR="00337756" w:rsidRPr="00337756" w:rsidRDefault="00F645DB" w:rsidP="00445D93">
            <w:pPr>
              <w:widowControl w:val="0"/>
              <w:tabs>
                <w:tab w:val="left" w:pos="990"/>
              </w:tabs>
              <w:suppressAutoHyphens/>
              <w:overflowPunct w:val="0"/>
              <w:spacing w:after="0" w:line="240" w:lineRule="auto"/>
              <w:ind w:left="360" w:hanging="360"/>
              <w:contextualSpacing/>
              <w:rPr>
                <w:rFonts w:ascii="Times New Roman" w:hAnsi="Times New Roman" w:cs="Times New Roman"/>
                <w:sz w:val="20"/>
                <w:szCs w:val="20"/>
                <w:lang w:val="en-PH"/>
              </w:rPr>
            </w:pPr>
            <w:r>
              <w:rPr>
                <w:rFonts w:ascii="Times New Roman" w:hAnsi="Times New Roman" w:cs="Times New Roman"/>
                <w:sz w:val="20"/>
                <w:szCs w:val="20"/>
                <w:lang w:val="en-PH"/>
              </w:rPr>
              <w:t xml:space="preserve">11. </w:t>
            </w:r>
            <w:r w:rsidR="00337756" w:rsidRPr="00337756">
              <w:rPr>
                <w:rFonts w:ascii="Times New Roman" w:hAnsi="Times New Roman" w:cs="Times New Roman"/>
                <w:sz w:val="20"/>
                <w:szCs w:val="20"/>
                <w:lang w:val="en-PH"/>
              </w:rPr>
              <w:t>Printing of t-shirts to support PCW Women's Month Theme 2 days Field Exposure on Gender-related Topic</w:t>
            </w:r>
          </w:p>
        </w:tc>
        <w:tc>
          <w:tcPr>
            <w:tcW w:w="1800" w:type="dxa"/>
          </w:tcPr>
          <w:p w:rsidR="00445D93" w:rsidRDefault="00337756" w:rsidP="00352593">
            <w:pPr>
              <w:spacing w:after="0" w:line="240" w:lineRule="auto"/>
              <w:jc w:val="right"/>
              <w:rPr>
                <w:rFonts w:ascii="Times New Roman" w:hAnsi="Times New Roman" w:cs="Times New Roman"/>
                <w:color w:val="000000"/>
                <w:sz w:val="20"/>
                <w:szCs w:val="20"/>
              </w:rPr>
            </w:pPr>
            <w:r w:rsidRPr="00352593">
              <w:rPr>
                <w:rFonts w:ascii="Times New Roman" w:hAnsi="Times New Roman" w:cs="Times New Roman"/>
                <w:color w:val="000000"/>
                <w:sz w:val="20"/>
                <w:szCs w:val="20"/>
              </w:rPr>
              <w:t xml:space="preserve">       </w:t>
            </w:r>
          </w:p>
          <w:p w:rsidR="00337756" w:rsidRPr="00352593" w:rsidRDefault="00337756" w:rsidP="00352593">
            <w:pPr>
              <w:spacing w:after="0" w:line="240" w:lineRule="auto"/>
              <w:jc w:val="right"/>
              <w:rPr>
                <w:rFonts w:ascii="Times New Roman" w:hAnsi="Times New Roman" w:cs="Times New Roman"/>
                <w:color w:val="000000"/>
                <w:sz w:val="20"/>
                <w:szCs w:val="20"/>
              </w:rPr>
            </w:pPr>
            <w:r w:rsidRPr="00352593">
              <w:rPr>
                <w:rFonts w:ascii="Times New Roman" w:hAnsi="Times New Roman" w:cs="Times New Roman"/>
                <w:color w:val="000000"/>
                <w:sz w:val="20"/>
                <w:szCs w:val="20"/>
              </w:rPr>
              <w:t xml:space="preserve">350,000.00 </w:t>
            </w:r>
          </w:p>
        </w:tc>
      </w:tr>
      <w:tr w:rsidR="00337756" w:rsidTr="00CE2DEF">
        <w:tc>
          <w:tcPr>
            <w:tcW w:w="5850" w:type="dxa"/>
            <w:tcBorders>
              <w:bottom w:val="single" w:sz="4" w:space="0" w:color="auto"/>
            </w:tcBorders>
          </w:tcPr>
          <w:p w:rsidR="00337756" w:rsidRPr="00337756" w:rsidRDefault="00337756" w:rsidP="00445D93">
            <w:pPr>
              <w:widowControl w:val="0"/>
              <w:tabs>
                <w:tab w:val="left" w:pos="990"/>
              </w:tabs>
              <w:suppressAutoHyphens/>
              <w:overflowPunct w:val="0"/>
              <w:spacing w:after="0" w:line="240" w:lineRule="auto"/>
              <w:contextualSpacing/>
              <w:rPr>
                <w:rFonts w:ascii="Times New Roman" w:hAnsi="Times New Roman" w:cs="Times New Roman"/>
                <w:sz w:val="20"/>
                <w:szCs w:val="20"/>
                <w:lang w:val="en-PH"/>
              </w:rPr>
            </w:pPr>
            <w:r w:rsidRPr="00337756">
              <w:rPr>
                <w:rFonts w:ascii="Times New Roman" w:hAnsi="Times New Roman" w:cs="Times New Roman"/>
                <w:sz w:val="20"/>
                <w:szCs w:val="20"/>
                <w:lang w:val="en-PH"/>
              </w:rPr>
              <w:t>12. Drafting of briefing/debriefing guidelines</w:t>
            </w:r>
          </w:p>
        </w:tc>
        <w:tc>
          <w:tcPr>
            <w:tcW w:w="1800" w:type="dxa"/>
            <w:tcBorders>
              <w:bottom w:val="single" w:sz="4" w:space="0" w:color="auto"/>
            </w:tcBorders>
          </w:tcPr>
          <w:p w:rsidR="00337756" w:rsidRPr="00352593" w:rsidRDefault="00337756" w:rsidP="00352593">
            <w:pPr>
              <w:spacing w:after="0" w:line="240" w:lineRule="auto"/>
              <w:jc w:val="right"/>
              <w:rPr>
                <w:rFonts w:ascii="Times New Roman" w:hAnsi="Times New Roman" w:cs="Times New Roman"/>
                <w:color w:val="000000"/>
                <w:sz w:val="20"/>
                <w:szCs w:val="20"/>
              </w:rPr>
            </w:pPr>
            <w:r w:rsidRPr="00352593">
              <w:rPr>
                <w:rFonts w:ascii="Times New Roman" w:hAnsi="Times New Roman" w:cs="Times New Roman"/>
                <w:color w:val="000000"/>
                <w:sz w:val="20"/>
                <w:szCs w:val="20"/>
              </w:rPr>
              <w:t xml:space="preserve">       100,000.00 </w:t>
            </w:r>
          </w:p>
        </w:tc>
      </w:tr>
      <w:tr w:rsidR="00337756" w:rsidRPr="00337756" w:rsidTr="00CE2DEF">
        <w:tc>
          <w:tcPr>
            <w:tcW w:w="5850" w:type="dxa"/>
            <w:tcBorders>
              <w:top w:val="single" w:sz="4" w:space="0" w:color="auto"/>
              <w:bottom w:val="double" w:sz="4" w:space="0" w:color="auto"/>
            </w:tcBorders>
          </w:tcPr>
          <w:p w:rsidR="00337756" w:rsidRPr="00352593" w:rsidRDefault="00337756">
            <w:pPr>
              <w:widowControl w:val="0"/>
              <w:tabs>
                <w:tab w:val="left" w:pos="990"/>
              </w:tabs>
              <w:suppressAutoHyphens/>
              <w:overflowPunct w:val="0"/>
              <w:spacing w:after="0" w:line="240" w:lineRule="auto"/>
              <w:contextualSpacing/>
              <w:jc w:val="both"/>
              <w:rPr>
                <w:rFonts w:ascii="Times New Roman" w:hAnsi="Times New Roman" w:cs="Times New Roman"/>
                <w:b/>
                <w:sz w:val="20"/>
                <w:szCs w:val="20"/>
                <w:lang w:val="en-PH"/>
              </w:rPr>
            </w:pPr>
            <w:r w:rsidRPr="00352593">
              <w:rPr>
                <w:rFonts w:ascii="Times New Roman" w:hAnsi="Times New Roman" w:cs="Times New Roman"/>
                <w:b/>
                <w:sz w:val="20"/>
                <w:szCs w:val="20"/>
                <w:lang w:val="en-PH"/>
              </w:rPr>
              <w:t>Total</w:t>
            </w:r>
          </w:p>
        </w:tc>
        <w:tc>
          <w:tcPr>
            <w:tcW w:w="1800" w:type="dxa"/>
            <w:tcBorders>
              <w:top w:val="single" w:sz="4" w:space="0" w:color="auto"/>
              <w:bottom w:val="double" w:sz="4" w:space="0" w:color="auto"/>
            </w:tcBorders>
          </w:tcPr>
          <w:p w:rsidR="00337756" w:rsidRPr="00352593" w:rsidRDefault="00265EEE" w:rsidP="00352593">
            <w:pPr>
              <w:spacing w:after="0" w:line="240" w:lineRule="auto"/>
              <w:jc w:val="right"/>
              <w:rPr>
                <w:rFonts w:ascii="Times New Roman" w:hAnsi="Times New Roman" w:cs="Times New Roman"/>
                <w:b/>
                <w:bCs/>
                <w:color w:val="000000"/>
                <w:sz w:val="20"/>
                <w:szCs w:val="20"/>
              </w:rPr>
            </w:pPr>
            <w:r w:rsidRPr="00352593">
              <w:rPr>
                <w:rFonts w:ascii="Times New Roman Bold" w:hAnsi="Times New Roman Bold" w:cs="Times New Roman"/>
                <w:b/>
                <w:dstrike/>
                <w:sz w:val="20"/>
                <w:szCs w:val="20"/>
                <w:lang w:val="en-PH"/>
              </w:rPr>
              <w:t>P</w:t>
            </w:r>
            <w:r w:rsidR="00337756" w:rsidRPr="00352593">
              <w:rPr>
                <w:rFonts w:ascii="Times New Roman" w:hAnsi="Times New Roman" w:cs="Times New Roman"/>
                <w:b/>
                <w:bCs/>
                <w:color w:val="000000"/>
                <w:sz w:val="20"/>
                <w:szCs w:val="20"/>
              </w:rPr>
              <w:t xml:space="preserve">2,275,000.00 </w:t>
            </w:r>
          </w:p>
        </w:tc>
      </w:tr>
    </w:tbl>
    <w:p w:rsidR="00FD0A18" w:rsidRDefault="00FD0A18" w:rsidP="00352593">
      <w:pPr>
        <w:widowControl w:val="0"/>
        <w:tabs>
          <w:tab w:val="left" w:pos="990"/>
        </w:tabs>
        <w:suppressAutoHyphens/>
        <w:overflowPunct w:val="0"/>
        <w:spacing w:after="0" w:line="240" w:lineRule="auto"/>
        <w:ind w:left="990"/>
        <w:contextualSpacing/>
        <w:jc w:val="both"/>
        <w:rPr>
          <w:rFonts w:ascii="Times New Roman" w:hAnsi="Times New Roman" w:cs="Times New Roman"/>
          <w:b/>
          <w:sz w:val="24"/>
          <w:szCs w:val="24"/>
          <w:lang w:val="en-PH"/>
        </w:rPr>
      </w:pPr>
    </w:p>
    <w:p w:rsidR="008A4B76" w:rsidRDefault="008A4B76" w:rsidP="00352593">
      <w:pPr>
        <w:widowControl w:val="0"/>
        <w:tabs>
          <w:tab w:val="left" w:pos="990"/>
        </w:tabs>
        <w:suppressAutoHyphens/>
        <w:overflowPunct w:val="0"/>
        <w:spacing w:after="0" w:line="240" w:lineRule="auto"/>
        <w:ind w:left="990"/>
        <w:contextualSpacing/>
        <w:jc w:val="both"/>
        <w:rPr>
          <w:rFonts w:ascii="Times New Roman" w:hAnsi="Times New Roman" w:cs="Times New Roman"/>
          <w:b/>
          <w:sz w:val="24"/>
          <w:szCs w:val="24"/>
          <w:lang w:val="en-PH"/>
        </w:rPr>
      </w:pPr>
    </w:p>
    <w:p w:rsidR="008A4B76" w:rsidRDefault="008A4B76" w:rsidP="00352593">
      <w:pPr>
        <w:widowControl w:val="0"/>
        <w:tabs>
          <w:tab w:val="left" w:pos="990"/>
        </w:tabs>
        <w:suppressAutoHyphens/>
        <w:overflowPunct w:val="0"/>
        <w:spacing w:after="0" w:line="240" w:lineRule="auto"/>
        <w:ind w:left="990"/>
        <w:contextualSpacing/>
        <w:jc w:val="both"/>
        <w:rPr>
          <w:rFonts w:ascii="Times New Roman" w:hAnsi="Times New Roman" w:cs="Times New Roman"/>
          <w:b/>
          <w:sz w:val="24"/>
          <w:szCs w:val="24"/>
          <w:lang w:val="en-PH"/>
        </w:rPr>
      </w:pPr>
    </w:p>
    <w:p w:rsidR="002108B1" w:rsidRPr="00352593" w:rsidRDefault="002108B1" w:rsidP="00352593">
      <w:pPr>
        <w:widowControl w:val="0"/>
        <w:tabs>
          <w:tab w:val="left" w:pos="990"/>
        </w:tabs>
        <w:suppressAutoHyphens/>
        <w:overflowPunct w:val="0"/>
        <w:spacing w:after="0" w:line="240" w:lineRule="auto"/>
        <w:contextualSpacing/>
        <w:jc w:val="both"/>
        <w:rPr>
          <w:rFonts w:ascii="Times New Roman" w:hAnsi="Times New Roman" w:cs="Times New Roman"/>
          <w:b/>
          <w:sz w:val="24"/>
          <w:szCs w:val="24"/>
          <w:lang w:val="en-PH"/>
        </w:rPr>
      </w:pPr>
    </w:p>
    <w:p w:rsidR="006877FA" w:rsidRPr="006877FA" w:rsidRDefault="00E57F45" w:rsidP="002E7497">
      <w:pPr>
        <w:widowControl w:val="0"/>
        <w:numPr>
          <w:ilvl w:val="1"/>
          <w:numId w:val="2"/>
        </w:numPr>
        <w:tabs>
          <w:tab w:val="left" w:pos="990"/>
        </w:tabs>
        <w:suppressAutoHyphens/>
        <w:overflowPunct w:val="0"/>
        <w:spacing w:after="0" w:line="240" w:lineRule="auto"/>
        <w:ind w:left="990" w:hanging="540"/>
        <w:contextualSpacing/>
        <w:jc w:val="both"/>
        <w:rPr>
          <w:rFonts w:ascii="Times New Roman" w:hAnsi="Times New Roman" w:cs="Times New Roman"/>
          <w:sz w:val="24"/>
          <w:szCs w:val="24"/>
          <w:lang w:val="en-PH"/>
        </w:rPr>
      </w:pPr>
      <w:r>
        <w:rPr>
          <w:rFonts w:ascii="Times New Roman" w:hAnsi="Times New Roman" w:cs="Times New Roman"/>
          <w:sz w:val="24"/>
          <w:szCs w:val="24"/>
          <w:lang w:val="en-PH"/>
        </w:rPr>
        <w:lastRenderedPageBreak/>
        <w:t>Section 35 of the GAA of</w:t>
      </w:r>
      <w:r w:rsidR="00C35929" w:rsidRPr="00C35929">
        <w:rPr>
          <w:rFonts w:ascii="Times New Roman" w:hAnsi="Times New Roman" w:cs="Times New Roman"/>
          <w:sz w:val="24"/>
          <w:szCs w:val="24"/>
          <w:lang w:val="en-PH"/>
        </w:rPr>
        <w:t xml:space="preserve"> FY 2016 provides that </w:t>
      </w:r>
      <w:r w:rsidR="00C35929" w:rsidRPr="00C35929">
        <w:rPr>
          <w:rFonts w:ascii="Times New Roman" w:hAnsi="Times New Roman" w:cs="Times New Roman"/>
          <w:i/>
          <w:sz w:val="24"/>
          <w:szCs w:val="24"/>
          <w:lang w:val="en-PH"/>
        </w:rPr>
        <w:t>“All agencies of the government shall formulate a GAD Plan designed to address gender issues within their concerned sectors or mandate and implement applicable provisions under RA No. 9710 or the Magna Carta of Women, Convention on the Elimination of All Forms of Discrimination Against Women, the Beijing Platform for Action, the Millennium Development Goals (2000-2015), the Philippine Plan for Gender-Responsive Development (1995-2025), and the Philippine Development Plan (2011-2016).”</w:t>
      </w:r>
    </w:p>
    <w:p w:rsidR="006877FA" w:rsidRPr="006877FA" w:rsidRDefault="006877FA" w:rsidP="00B21032">
      <w:pPr>
        <w:tabs>
          <w:tab w:val="left" w:pos="990"/>
        </w:tabs>
        <w:spacing w:after="0" w:line="240" w:lineRule="auto"/>
        <w:ind w:firstLine="360"/>
        <w:contextualSpacing/>
        <w:jc w:val="both"/>
        <w:rPr>
          <w:rFonts w:ascii="Times New Roman" w:hAnsi="Times New Roman" w:cs="Times New Roman"/>
          <w:sz w:val="24"/>
          <w:szCs w:val="24"/>
          <w:lang w:val="en-PH"/>
        </w:rPr>
      </w:pPr>
    </w:p>
    <w:p w:rsidR="004B364B" w:rsidRPr="00352593" w:rsidRDefault="00C35929" w:rsidP="002E7497">
      <w:pPr>
        <w:widowControl w:val="0"/>
        <w:numPr>
          <w:ilvl w:val="1"/>
          <w:numId w:val="2"/>
        </w:numPr>
        <w:tabs>
          <w:tab w:val="left" w:pos="990"/>
        </w:tabs>
        <w:suppressAutoHyphens/>
        <w:overflowPunct w:val="0"/>
        <w:spacing w:after="0" w:line="240" w:lineRule="auto"/>
        <w:ind w:left="990" w:hanging="540"/>
        <w:contextualSpacing/>
        <w:jc w:val="both"/>
        <w:rPr>
          <w:rFonts w:ascii="Times New Roman" w:hAnsi="Times New Roman" w:cs="Times New Roman"/>
          <w:i/>
          <w:sz w:val="24"/>
          <w:szCs w:val="24"/>
          <w:lang w:val="en-PH"/>
        </w:rPr>
      </w:pPr>
      <w:r w:rsidRPr="00C35929">
        <w:rPr>
          <w:rFonts w:ascii="Times New Roman" w:hAnsi="Times New Roman" w:cs="Times New Roman"/>
          <w:sz w:val="24"/>
          <w:szCs w:val="24"/>
          <w:lang w:val="en-PH"/>
        </w:rPr>
        <w:t>The same legal provision requires that the GAD Plan shall be integrated in the regular activities of the agencies, which shall be at least five percent of their budgets. For this purpose, activities currently being undertaken by agencies which relate to GAD or those that contribute to poverty alleviation, economic empowerment especially of marginalized women, protection, promotion and fulfil</w:t>
      </w:r>
      <w:r>
        <w:rPr>
          <w:rFonts w:ascii="Times New Roman" w:hAnsi="Times New Roman" w:cs="Times New Roman"/>
          <w:sz w:val="24"/>
          <w:szCs w:val="24"/>
          <w:lang w:val="en-PH"/>
        </w:rPr>
        <w:t>l</w:t>
      </w:r>
      <w:r w:rsidRPr="00C35929">
        <w:rPr>
          <w:rFonts w:ascii="Times New Roman" w:hAnsi="Times New Roman" w:cs="Times New Roman"/>
          <w:sz w:val="24"/>
          <w:szCs w:val="24"/>
          <w:lang w:val="en-PH"/>
        </w:rPr>
        <w:t xml:space="preserve">ment of women’s human rights, and to practice gender-responsive governance are considered sufficient compliance with said requirement. </w:t>
      </w:r>
    </w:p>
    <w:p w:rsidR="006D4CD1" w:rsidRPr="00352593" w:rsidRDefault="006D4CD1" w:rsidP="00352593">
      <w:pPr>
        <w:widowControl w:val="0"/>
        <w:tabs>
          <w:tab w:val="left" w:pos="990"/>
        </w:tabs>
        <w:suppressAutoHyphens/>
        <w:overflowPunct w:val="0"/>
        <w:spacing w:after="0" w:line="240" w:lineRule="auto"/>
        <w:ind w:left="990"/>
        <w:contextualSpacing/>
        <w:jc w:val="both"/>
        <w:rPr>
          <w:rFonts w:ascii="Times New Roman" w:hAnsi="Times New Roman" w:cs="Times New Roman"/>
          <w:i/>
          <w:sz w:val="24"/>
          <w:szCs w:val="24"/>
          <w:lang w:val="en-PH"/>
        </w:rPr>
      </w:pPr>
    </w:p>
    <w:p w:rsidR="006D4CD1" w:rsidRPr="00352593" w:rsidRDefault="00876676" w:rsidP="00352593">
      <w:pPr>
        <w:widowControl w:val="0"/>
        <w:numPr>
          <w:ilvl w:val="1"/>
          <w:numId w:val="2"/>
        </w:numPr>
        <w:tabs>
          <w:tab w:val="left" w:pos="990"/>
        </w:tabs>
        <w:suppressAutoHyphens/>
        <w:overflowPunct w:val="0"/>
        <w:spacing w:after="0" w:line="240" w:lineRule="auto"/>
        <w:ind w:left="990" w:hanging="540"/>
        <w:contextualSpacing/>
        <w:jc w:val="both"/>
        <w:rPr>
          <w:rFonts w:ascii="Times New Roman" w:hAnsi="Times New Roman" w:cs="Times New Roman"/>
          <w:sz w:val="24"/>
          <w:szCs w:val="24"/>
          <w:lang w:val="en-PH"/>
        </w:rPr>
      </w:pPr>
      <w:r w:rsidRPr="00780815">
        <w:rPr>
          <w:rFonts w:ascii="Times New Roman" w:hAnsi="Times New Roman" w:cs="Times New Roman"/>
          <w:sz w:val="24"/>
          <w:szCs w:val="24"/>
          <w:lang w:val="en-PH"/>
        </w:rPr>
        <w:t xml:space="preserve">Accordingly, </w:t>
      </w:r>
      <w:r w:rsidR="00315143">
        <w:rPr>
          <w:rFonts w:ascii="Times New Roman" w:hAnsi="Times New Roman" w:cs="Times New Roman"/>
          <w:sz w:val="24"/>
          <w:szCs w:val="24"/>
          <w:lang w:val="en-PH"/>
        </w:rPr>
        <w:t>the</w:t>
      </w:r>
      <w:r w:rsidR="00EF1FD0" w:rsidRPr="00780815">
        <w:rPr>
          <w:rFonts w:ascii="Times New Roman" w:hAnsi="Times New Roman" w:cs="Times New Roman"/>
          <w:sz w:val="24"/>
          <w:szCs w:val="24"/>
          <w:lang w:val="en-PH"/>
        </w:rPr>
        <w:t xml:space="preserve"> GAD Focal Point System (GFPS) </w:t>
      </w:r>
      <w:r w:rsidR="00FC688A">
        <w:rPr>
          <w:rFonts w:ascii="Times New Roman" w:hAnsi="Times New Roman" w:cs="Times New Roman"/>
          <w:sz w:val="24"/>
          <w:szCs w:val="24"/>
          <w:lang w:val="en-PH"/>
        </w:rPr>
        <w:t xml:space="preserve">was not able to fully </w:t>
      </w:r>
      <w:r w:rsidR="00315143">
        <w:rPr>
          <w:rFonts w:ascii="Times New Roman" w:hAnsi="Times New Roman" w:cs="Times New Roman"/>
          <w:sz w:val="24"/>
          <w:szCs w:val="24"/>
          <w:lang w:val="en-PH"/>
        </w:rPr>
        <w:t>identif</w:t>
      </w:r>
      <w:r w:rsidR="00FC688A">
        <w:rPr>
          <w:rFonts w:ascii="Times New Roman" w:hAnsi="Times New Roman" w:cs="Times New Roman"/>
          <w:sz w:val="24"/>
          <w:szCs w:val="24"/>
          <w:lang w:val="en-PH"/>
        </w:rPr>
        <w:t>y</w:t>
      </w:r>
      <w:r w:rsidR="00315143">
        <w:rPr>
          <w:rFonts w:ascii="Times New Roman" w:hAnsi="Times New Roman" w:cs="Times New Roman"/>
          <w:sz w:val="24"/>
          <w:szCs w:val="24"/>
          <w:lang w:val="en-PH"/>
        </w:rPr>
        <w:t xml:space="preserve"> </w:t>
      </w:r>
      <w:r w:rsidR="00FC688A">
        <w:rPr>
          <w:rFonts w:ascii="Times New Roman" w:hAnsi="Times New Roman" w:cs="Times New Roman"/>
          <w:sz w:val="24"/>
          <w:szCs w:val="24"/>
          <w:lang w:val="en-PH"/>
        </w:rPr>
        <w:t xml:space="preserve">the </w:t>
      </w:r>
      <w:r w:rsidR="00315143">
        <w:rPr>
          <w:rFonts w:ascii="Times New Roman" w:hAnsi="Times New Roman" w:cs="Times New Roman"/>
          <w:sz w:val="24"/>
          <w:szCs w:val="24"/>
          <w:lang w:val="en-PH"/>
        </w:rPr>
        <w:t xml:space="preserve">activities </w:t>
      </w:r>
      <w:r w:rsidR="00FC688A">
        <w:rPr>
          <w:rFonts w:ascii="Times New Roman" w:hAnsi="Times New Roman" w:cs="Times New Roman"/>
          <w:sz w:val="24"/>
          <w:szCs w:val="24"/>
          <w:lang w:val="en-PH"/>
        </w:rPr>
        <w:t xml:space="preserve">to address </w:t>
      </w:r>
      <w:r w:rsidR="00315143">
        <w:rPr>
          <w:rFonts w:ascii="Times New Roman" w:hAnsi="Times New Roman" w:cs="Times New Roman"/>
          <w:sz w:val="24"/>
          <w:szCs w:val="24"/>
          <w:lang w:val="en-PH"/>
        </w:rPr>
        <w:t>the requirement</w:t>
      </w:r>
      <w:r w:rsidR="005015AE">
        <w:rPr>
          <w:rFonts w:ascii="Times New Roman" w:hAnsi="Times New Roman" w:cs="Times New Roman"/>
          <w:sz w:val="24"/>
          <w:szCs w:val="24"/>
          <w:lang w:val="en-PH"/>
        </w:rPr>
        <w:t xml:space="preserve">. </w:t>
      </w:r>
      <w:r w:rsidR="00276E74">
        <w:rPr>
          <w:rFonts w:ascii="Times New Roman" w:hAnsi="Times New Roman" w:cs="Times New Roman"/>
          <w:sz w:val="24"/>
          <w:szCs w:val="24"/>
        </w:rPr>
        <w:t xml:space="preserve">It is worth mentioning however, that the agency </w:t>
      </w:r>
      <w:r w:rsidR="00343A7C">
        <w:rPr>
          <w:rFonts w:ascii="Times New Roman" w:hAnsi="Times New Roman" w:cs="Times New Roman"/>
          <w:sz w:val="24"/>
          <w:szCs w:val="24"/>
        </w:rPr>
        <w:t xml:space="preserve">started to </w:t>
      </w:r>
      <w:r w:rsidR="00276E74">
        <w:rPr>
          <w:rFonts w:ascii="Times New Roman" w:hAnsi="Times New Roman" w:cs="Times New Roman"/>
          <w:sz w:val="24"/>
          <w:szCs w:val="24"/>
        </w:rPr>
        <w:t>conduct series of workshops</w:t>
      </w:r>
      <w:r w:rsidR="0039749C">
        <w:rPr>
          <w:rFonts w:ascii="Times New Roman" w:hAnsi="Times New Roman" w:cs="Times New Roman"/>
          <w:sz w:val="24"/>
          <w:szCs w:val="24"/>
        </w:rPr>
        <w:t xml:space="preserve"> on June 28-29, 2016 and October 19-20</w:t>
      </w:r>
      <w:r w:rsidR="007E18B5">
        <w:rPr>
          <w:rFonts w:ascii="Times New Roman" w:hAnsi="Times New Roman" w:cs="Times New Roman"/>
          <w:sz w:val="24"/>
          <w:szCs w:val="24"/>
        </w:rPr>
        <w:t>,</w:t>
      </w:r>
      <w:r w:rsidR="0039749C">
        <w:rPr>
          <w:rFonts w:ascii="Times New Roman" w:hAnsi="Times New Roman" w:cs="Times New Roman"/>
          <w:sz w:val="24"/>
          <w:szCs w:val="24"/>
        </w:rPr>
        <w:t xml:space="preserve"> 2016</w:t>
      </w:r>
      <w:r w:rsidR="00276E74">
        <w:rPr>
          <w:rFonts w:ascii="Times New Roman" w:hAnsi="Times New Roman" w:cs="Times New Roman"/>
          <w:sz w:val="24"/>
          <w:szCs w:val="24"/>
        </w:rPr>
        <w:t xml:space="preserve"> </w:t>
      </w:r>
      <w:r w:rsidR="00343A7C">
        <w:rPr>
          <w:rFonts w:ascii="Times New Roman" w:hAnsi="Times New Roman" w:cs="Times New Roman"/>
          <w:sz w:val="24"/>
          <w:szCs w:val="24"/>
        </w:rPr>
        <w:t>that helped them</w:t>
      </w:r>
      <w:r w:rsidR="00276E74">
        <w:rPr>
          <w:rFonts w:ascii="Times New Roman" w:hAnsi="Times New Roman" w:cs="Times New Roman"/>
          <w:sz w:val="24"/>
          <w:szCs w:val="24"/>
        </w:rPr>
        <w:t xml:space="preserve"> </w:t>
      </w:r>
      <w:r w:rsidR="005015AE">
        <w:rPr>
          <w:rFonts w:ascii="Times New Roman" w:hAnsi="Times New Roman" w:cs="Times New Roman"/>
          <w:sz w:val="24"/>
          <w:szCs w:val="24"/>
        </w:rPr>
        <w:t xml:space="preserve">further </w:t>
      </w:r>
      <w:r w:rsidR="00276E74">
        <w:rPr>
          <w:rFonts w:ascii="Times New Roman" w:hAnsi="Times New Roman" w:cs="Times New Roman"/>
          <w:sz w:val="24"/>
          <w:szCs w:val="24"/>
        </w:rPr>
        <w:t xml:space="preserve">identify key gender issues </w:t>
      </w:r>
      <w:r w:rsidR="00343A7C">
        <w:rPr>
          <w:rFonts w:ascii="Times New Roman" w:hAnsi="Times New Roman" w:cs="Times New Roman"/>
          <w:sz w:val="24"/>
          <w:szCs w:val="24"/>
        </w:rPr>
        <w:t>and generate additional GAD-related activities compliant to</w:t>
      </w:r>
      <w:r w:rsidR="00276E74">
        <w:rPr>
          <w:rFonts w:ascii="Times New Roman" w:hAnsi="Times New Roman" w:cs="Times New Roman"/>
          <w:sz w:val="24"/>
          <w:szCs w:val="24"/>
        </w:rPr>
        <w:t xml:space="preserve"> their </w:t>
      </w:r>
      <w:r w:rsidR="00343A7C">
        <w:rPr>
          <w:rFonts w:ascii="Times New Roman" w:hAnsi="Times New Roman" w:cs="Times New Roman"/>
          <w:sz w:val="24"/>
          <w:szCs w:val="24"/>
        </w:rPr>
        <w:t xml:space="preserve">operational </w:t>
      </w:r>
      <w:r w:rsidR="00276E74">
        <w:rPr>
          <w:rFonts w:ascii="Times New Roman" w:hAnsi="Times New Roman" w:cs="Times New Roman"/>
          <w:sz w:val="24"/>
          <w:szCs w:val="24"/>
        </w:rPr>
        <w:t xml:space="preserve">mandate. </w:t>
      </w:r>
    </w:p>
    <w:p w:rsidR="000D04B5" w:rsidRPr="000B0188" w:rsidRDefault="000D04B5" w:rsidP="00C35929">
      <w:pPr>
        <w:widowControl w:val="0"/>
        <w:tabs>
          <w:tab w:val="left" w:pos="990"/>
        </w:tabs>
        <w:suppressAutoHyphens/>
        <w:overflowPunct w:val="0"/>
        <w:spacing w:after="0" w:line="240" w:lineRule="auto"/>
        <w:contextualSpacing/>
        <w:jc w:val="both"/>
        <w:rPr>
          <w:rFonts w:ascii="Times New Roman" w:hAnsi="Times New Roman" w:cs="Times New Roman"/>
          <w:sz w:val="24"/>
          <w:szCs w:val="24"/>
          <w:lang w:val="en-PH"/>
        </w:rPr>
      </w:pPr>
    </w:p>
    <w:p w:rsidR="003C1AE6" w:rsidRPr="003C1AE6" w:rsidRDefault="00337756">
      <w:pPr>
        <w:widowControl w:val="0"/>
        <w:numPr>
          <w:ilvl w:val="1"/>
          <w:numId w:val="2"/>
        </w:numPr>
        <w:tabs>
          <w:tab w:val="left" w:pos="990"/>
        </w:tabs>
        <w:suppressAutoHyphens/>
        <w:overflowPunct w:val="0"/>
        <w:spacing w:after="0" w:line="240" w:lineRule="auto"/>
        <w:ind w:left="990" w:hanging="540"/>
        <w:contextualSpacing/>
        <w:jc w:val="both"/>
        <w:rPr>
          <w:rFonts w:ascii="Times New Roman" w:hAnsi="Times New Roman" w:cs="Times New Roman"/>
          <w:lang w:val="en-PH"/>
        </w:rPr>
      </w:pPr>
      <w:r>
        <w:rPr>
          <w:rFonts w:ascii="Times New Roman" w:hAnsi="Times New Roman" w:cs="Times New Roman"/>
          <w:sz w:val="24"/>
          <w:szCs w:val="24"/>
          <w:lang w:val="en-PH"/>
        </w:rPr>
        <w:t>Review of the</w:t>
      </w:r>
      <w:r w:rsidR="00C35929" w:rsidRPr="00C35929">
        <w:rPr>
          <w:rFonts w:ascii="Times New Roman" w:hAnsi="Times New Roman" w:cs="Times New Roman"/>
          <w:sz w:val="24"/>
          <w:szCs w:val="24"/>
          <w:lang w:val="en-PH"/>
        </w:rPr>
        <w:t xml:space="preserve"> Accomplishment Report </w:t>
      </w:r>
      <w:r>
        <w:rPr>
          <w:rFonts w:ascii="Times New Roman" w:hAnsi="Times New Roman" w:cs="Times New Roman"/>
          <w:sz w:val="24"/>
          <w:szCs w:val="24"/>
          <w:lang w:val="en-PH"/>
        </w:rPr>
        <w:t>on GAD showed that</w:t>
      </w:r>
      <w:r w:rsidR="003C1AE6">
        <w:rPr>
          <w:rFonts w:ascii="Times New Roman" w:hAnsi="Times New Roman" w:cs="Times New Roman"/>
          <w:sz w:val="24"/>
          <w:szCs w:val="24"/>
          <w:lang w:val="en-PH"/>
        </w:rPr>
        <w:t xml:space="preserve"> expenses for the year totaled</w:t>
      </w:r>
      <w:r w:rsidR="00C35929" w:rsidRPr="00C35929">
        <w:rPr>
          <w:rFonts w:ascii="Times New Roman" w:hAnsi="Times New Roman" w:cs="Times New Roman"/>
          <w:sz w:val="24"/>
          <w:szCs w:val="24"/>
          <w:lang w:val="en-PH"/>
        </w:rPr>
        <w:t xml:space="preserve"> </w:t>
      </w:r>
      <w:r w:rsidR="003C1AE6">
        <w:rPr>
          <w:rFonts w:ascii="Times New Roman" w:hAnsi="Times New Roman" w:cs="Times New Roman"/>
          <w:sz w:val="24"/>
          <w:szCs w:val="24"/>
          <w:lang w:val="en-PH"/>
        </w:rPr>
        <w:t>to</w:t>
      </w:r>
      <w:r w:rsidR="00C35929" w:rsidRPr="00C35929">
        <w:rPr>
          <w:rFonts w:ascii="Times New Roman" w:hAnsi="Times New Roman" w:cs="Times New Roman"/>
          <w:sz w:val="24"/>
          <w:szCs w:val="24"/>
          <w:lang w:val="en-PH"/>
        </w:rPr>
        <w:t xml:space="preserve"> </w:t>
      </w:r>
      <w:r w:rsidR="00C35929" w:rsidRPr="00C35929">
        <w:rPr>
          <w:rFonts w:ascii="Times New Roman" w:hAnsi="Times New Roman" w:cs="Times New Roman"/>
          <w:dstrike/>
          <w:sz w:val="24"/>
          <w:szCs w:val="24"/>
          <w:lang w:val="en-PH"/>
        </w:rPr>
        <w:t>P</w:t>
      </w:r>
      <w:r w:rsidR="00C35929" w:rsidRPr="00C35929">
        <w:rPr>
          <w:rFonts w:ascii="Times New Roman" w:hAnsi="Times New Roman" w:cs="Times New Roman"/>
          <w:sz w:val="24"/>
          <w:szCs w:val="24"/>
          <w:lang w:val="en-PH"/>
        </w:rPr>
        <w:t>2,556,781.13 for</w:t>
      </w:r>
      <w:r w:rsidR="003C1AE6">
        <w:rPr>
          <w:rFonts w:ascii="Times New Roman" w:hAnsi="Times New Roman" w:cs="Times New Roman"/>
          <w:sz w:val="24"/>
          <w:szCs w:val="24"/>
          <w:lang w:val="en-PH"/>
        </w:rPr>
        <w:t xml:space="preserve"> the</w:t>
      </w:r>
      <w:r w:rsidR="00C35929" w:rsidRPr="00C35929">
        <w:rPr>
          <w:rFonts w:ascii="Times New Roman" w:hAnsi="Times New Roman" w:cs="Times New Roman"/>
          <w:sz w:val="24"/>
          <w:szCs w:val="24"/>
          <w:lang w:val="en-PH"/>
        </w:rPr>
        <w:t xml:space="preserve"> </w:t>
      </w:r>
      <w:r w:rsidR="003C1AE6" w:rsidRPr="00C35929">
        <w:rPr>
          <w:rFonts w:ascii="Times New Roman" w:hAnsi="Times New Roman" w:cs="Times New Roman"/>
          <w:sz w:val="24"/>
          <w:szCs w:val="24"/>
          <w:lang w:val="en-PH"/>
        </w:rPr>
        <w:t xml:space="preserve">12 GAD activities </w:t>
      </w:r>
      <w:r w:rsidR="003C1AE6">
        <w:rPr>
          <w:rFonts w:ascii="Times New Roman" w:hAnsi="Times New Roman" w:cs="Times New Roman"/>
          <w:sz w:val="24"/>
          <w:szCs w:val="24"/>
          <w:lang w:val="en-PH"/>
        </w:rPr>
        <w:t xml:space="preserve">conducted. The GAD activities have </w:t>
      </w:r>
      <w:r w:rsidR="003C1AE6" w:rsidRPr="00C35929">
        <w:rPr>
          <w:rFonts w:ascii="Times New Roman" w:hAnsi="Times New Roman" w:cs="Times New Roman"/>
          <w:sz w:val="24"/>
          <w:szCs w:val="24"/>
          <w:lang w:val="en-PH"/>
        </w:rPr>
        <w:t xml:space="preserve">31 performance indicators, </w:t>
      </w:r>
      <w:r w:rsidR="003C1AE6">
        <w:rPr>
          <w:rFonts w:ascii="Times New Roman" w:hAnsi="Times New Roman" w:cs="Times New Roman"/>
          <w:sz w:val="24"/>
          <w:szCs w:val="24"/>
          <w:lang w:val="en-PH"/>
        </w:rPr>
        <w:t xml:space="preserve">of which </w:t>
      </w:r>
      <w:r w:rsidR="003C1AE6" w:rsidRPr="00C35929">
        <w:rPr>
          <w:rFonts w:ascii="Times New Roman" w:hAnsi="Times New Roman" w:cs="Times New Roman"/>
          <w:sz w:val="24"/>
          <w:szCs w:val="24"/>
          <w:lang w:val="en-PH"/>
        </w:rPr>
        <w:t xml:space="preserve">25 targets were attained, </w:t>
      </w:r>
      <w:r w:rsidR="003C1AE6">
        <w:rPr>
          <w:rFonts w:ascii="Times New Roman" w:hAnsi="Times New Roman" w:cs="Times New Roman"/>
          <w:sz w:val="24"/>
          <w:szCs w:val="24"/>
          <w:lang w:val="en-PH"/>
        </w:rPr>
        <w:t>five</w:t>
      </w:r>
      <w:r w:rsidR="003C1AE6" w:rsidRPr="00C35929">
        <w:rPr>
          <w:rFonts w:ascii="Times New Roman" w:hAnsi="Times New Roman" w:cs="Times New Roman"/>
          <w:sz w:val="24"/>
          <w:szCs w:val="24"/>
          <w:lang w:val="en-PH"/>
        </w:rPr>
        <w:t xml:space="preserve"> were parti</w:t>
      </w:r>
      <w:r w:rsidR="00EF1FD0">
        <w:rPr>
          <w:rFonts w:ascii="Times New Roman" w:hAnsi="Times New Roman" w:cs="Times New Roman"/>
          <w:sz w:val="24"/>
          <w:szCs w:val="24"/>
          <w:lang w:val="en-PH"/>
        </w:rPr>
        <w:t xml:space="preserve">ally accomplished </w:t>
      </w:r>
      <w:r w:rsidR="003C1AE6" w:rsidRPr="00C35929">
        <w:rPr>
          <w:rFonts w:ascii="Times New Roman" w:hAnsi="Times New Roman" w:cs="Times New Roman"/>
          <w:sz w:val="24"/>
          <w:szCs w:val="24"/>
          <w:lang w:val="en-PH"/>
        </w:rPr>
        <w:t xml:space="preserve">and one was not accomplished. </w:t>
      </w:r>
      <w:r w:rsidR="003C1AE6">
        <w:rPr>
          <w:rFonts w:ascii="Times New Roman" w:hAnsi="Times New Roman" w:cs="Times New Roman"/>
          <w:sz w:val="24"/>
          <w:szCs w:val="24"/>
          <w:lang w:val="en-PH"/>
        </w:rPr>
        <w:t xml:space="preserve">The </w:t>
      </w:r>
      <w:r w:rsidR="003C1AE6" w:rsidRPr="00C35929">
        <w:rPr>
          <w:rFonts w:ascii="Times New Roman" w:hAnsi="Times New Roman" w:cs="Times New Roman"/>
          <w:sz w:val="24"/>
          <w:szCs w:val="24"/>
          <w:lang w:val="en-PH"/>
        </w:rPr>
        <w:t xml:space="preserve">Accomplishment Report </w:t>
      </w:r>
      <w:r w:rsidR="003C1AE6">
        <w:rPr>
          <w:rFonts w:ascii="Times New Roman" w:hAnsi="Times New Roman" w:cs="Times New Roman"/>
          <w:sz w:val="24"/>
          <w:szCs w:val="24"/>
          <w:lang w:val="en-PH"/>
        </w:rPr>
        <w:t>also disclosed</w:t>
      </w:r>
      <w:r w:rsidR="003C1AE6" w:rsidRPr="00C35929">
        <w:rPr>
          <w:rFonts w:ascii="Times New Roman" w:hAnsi="Times New Roman" w:cs="Times New Roman"/>
          <w:sz w:val="24"/>
          <w:szCs w:val="24"/>
          <w:lang w:val="en-PH"/>
        </w:rPr>
        <w:t xml:space="preserve"> that there were series of GAD activities and trainings that were carried out but did not reach the target participants due to heavy operational workload and lack of availability of the SET employees and G</w:t>
      </w:r>
      <w:r w:rsidR="00BE5B40">
        <w:rPr>
          <w:rFonts w:ascii="Times New Roman" w:hAnsi="Times New Roman" w:cs="Times New Roman"/>
          <w:sz w:val="24"/>
          <w:szCs w:val="24"/>
          <w:lang w:val="en-PH"/>
        </w:rPr>
        <w:t>FPS</w:t>
      </w:r>
      <w:r w:rsidR="003C1AE6" w:rsidRPr="00C35929">
        <w:rPr>
          <w:rFonts w:ascii="Times New Roman" w:hAnsi="Times New Roman" w:cs="Times New Roman"/>
          <w:sz w:val="24"/>
          <w:szCs w:val="24"/>
          <w:lang w:val="en-PH"/>
        </w:rPr>
        <w:t xml:space="preserve"> members</w:t>
      </w:r>
      <w:r w:rsidR="00E42A28">
        <w:rPr>
          <w:rFonts w:ascii="Times New Roman" w:hAnsi="Times New Roman" w:cs="Times New Roman"/>
          <w:sz w:val="24"/>
          <w:szCs w:val="24"/>
          <w:lang w:val="en-PH"/>
        </w:rPr>
        <w:t>,</w:t>
      </w:r>
      <w:r w:rsidR="003C1AE6" w:rsidRPr="00C35929">
        <w:rPr>
          <w:rFonts w:ascii="Times New Roman" w:hAnsi="Times New Roman" w:cs="Times New Roman"/>
          <w:sz w:val="24"/>
          <w:szCs w:val="24"/>
          <w:lang w:val="en-PH"/>
        </w:rPr>
        <w:t xml:space="preserve"> hence, the activities did not</w:t>
      </w:r>
      <w:r w:rsidR="003C1AE6">
        <w:rPr>
          <w:rFonts w:ascii="Times New Roman" w:hAnsi="Times New Roman" w:cs="Times New Roman"/>
          <w:sz w:val="24"/>
          <w:szCs w:val="24"/>
          <w:lang w:val="en-PH"/>
        </w:rPr>
        <w:t xml:space="preserve"> fully attain its objectives and</w:t>
      </w:r>
      <w:r w:rsidR="003C1AE6" w:rsidRPr="00C35929">
        <w:rPr>
          <w:rFonts w:ascii="Times New Roman" w:hAnsi="Times New Roman" w:cs="Times New Roman"/>
          <w:sz w:val="24"/>
          <w:szCs w:val="24"/>
          <w:lang w:val="en-PH"/>
        </w:rPr>
        <w:t xml:space="preserve"> the benefits </w:t>
      </w:r>
      <w:r w:rsidR="003C1AE6">
        <w:rPr>
          <w:rFonts w:ascii="Times New Roman" w:hAnsi="Times New Roman" w:cs="Times New Roman"/>
          <w:sz w:val="24"/>
          <w:szCs w:val="24"/>
          <w:lang w:val="en-PH"/>
        </w:rPr>
        <w:t>to the intended recipients were not maximized.</w:t>
      </w:r>
    </w:p>
    <w:p w:rsidR="006877FA" w:rsidRPr="00E379AF" w:rsidRDefault="006877FA" w:rsidP="00C35929">
      <w:pPr>
        <w:widowControl w:val="0"/>
        <w:tabs>
          <w:tab w:val="left" w:pos="990"/>
        </w:tabs>
        <w:suppressAutoHyphens/>
        <w:overflowPunct w:val="0"/>
        <w:spacing w:after="0" w:line="240" w:lineRule="auto"/>
        <w:contextualSpacing/>
        <w:jc w:val="both"/>
        <w:rPr>
          <w:rFonts w:ascii="Times New Roman" w:hAnsi="Times New Roman" w:cs="Times New Roman"/>
          <w:lang w:val="en-PH"/>
        </w:rPr>
      </w:pPr>
    </w:p>
    <w:p w:rsidR="003C1AE6" w:rsidRPr="00265EEE" w:rsidRDefault="00C35929" w:rsidP="00352593">
      <w:pPr>
        <w:widowControl w:val="0"/>
        <w:numPr>
          <w:ilvl w:val="1"/>
          <w:numId w:val="2"/>
        </w:numPr>
        <w:tabs>
          <w:tab w:val="left" w:pos="990"/>
        </w:tabs>
        <w:suppressAutoHyphens/>
        <w:overflowPunct w:val="0"/>
        <w:spacing w:after="0" w:line="240" w:lineRule="auto"/>
        <w:ind w:left="990" w:hanging="540"/>
        <w:contextualSpacing/>
        <w:jc w:val="both"/>
        <w:rPr>
          <w:rFonts w:ascii="Times New Roman" w:hAnsi="Times New Roman" w:cs="Times New Roman"/>
          <w:b/>
          <w:sz w:val="24"/>
          <w:szCs w:val="24"/>
          <w:lang w:val="en-PH"/>
        </w:rPr>
      </w:pPr>
      <w:r w:rsidRPr="003C1AE6">
        <w:rPr>
          <w:rFonts w:ascii="Times New Roman" w:hAnsi="Times New Roman" w:cs="Times New Roman"/>
          <w:sz w:val="24"/>
          <w:szCs w:val="24"/>
          <w:lang w:val="en-PH"/>
        </w:rPr>
        <w:t xml:space="preserve">Further, no data were provided for the participants’ pre and post assessment with respect to the GAD mainstreaming workshop since no feedback forms were given to them. </w:t>
      </w:r>
      <w:r w:rsidR="003C1AE6" w:rsidRPr="003C1AE6">
        <w:rPr>
          <w:rFonts w:ascii="Times New Roman" w:hAnsi="Times New Roman" w:cs="Times New Roman"/>
          <w:sz w:val="24"/>
          <w:szCs w:val="24"/>
          <w:lang w:val="en-PH"/>
        </w:rPr>
        <w:t>The pre and post assessment is necessary to e</w:t>
      </w:r>
      <w:r w:rsidRPr="003C1AE6">
        <w:rPr>
          <w:rFonts w:ascii="Times New Roman" w:hAnsi="Times New Roman" w:cs="Times New Roman"/>
          <w:sz w:val="24"/>
          <w:szCs w:val="24"/>
          <w:lang w:val="en-PH"/>
        </w:rPr>
        <w:t>valuat</w:t>
      </w:r>
      <w:r w:rsidR="003C1AE6" w:rsidRPr="003C1AE6">
        <w:rPr>
          <w:rFonts w:ascii="Times New Roman" w:hAnsi="Times New Roman" w:cs="Times New Roman"/>
          <w:sz w:val="24"/>
          <w:szCs w:val="24"/>
          <w:lang w:val="en-PH"/>
        </w:rPr>
        <w:t>e</w:t>
      </w:r>
      <w:r w:rsidRPr="003C1AE6">
        <w:rPr>
          <w:rFonts w:ascii="Times New Roman" w:hAnsi="Times New Roman" w:cs="Times New Roman"/>
          <w:sz w:val="24"/>
          <w:szCs w:val="24"/>
          <w:lang w:val="en-PH"/>
        </w:rPr>
        <w:t xml:space="preserve"> the performance of seminars/training courses conducted</w:t>
      </w:r>
      <w:r w:rsidR="003C1AE6" w:rsidRPr="003C1AE6">
        <w:rPr>
          <w:rFonts w:ascii="Times New Roman" w:hAnsi="Times New Roman" w:cs="Times New Roman"/>
          <w:sz w:val="24"/>
          <w:szCs w:val="24"/>
          <w:lang w:val="en-PH"/>
        </w:rPr>
        <w:t xml:space="preserve"> and to determine whether such activities</w:t>
      </w:r>
      <w:r w:rsidRPr="003C1AE6">
        <w:rPr>
          <w:rFonts w:ascii="Times New Roman" w:hAnsi="Times New Roman" w:cs="Times New Roman"/>
          <w:sz w:val="24"/>
          <w:szCs w:val="24"/>
          <w:lang w:val="en-PH"/>
        </w:rPr>
        <w:t xml:space="preserve"> contribute to the continuous manpower development geared for the improvement of the GAD Program</w:t>
      </w:r>
      <w:r w:rsidR="003C1AE6">
        <w:rPr>
          <w:rFonts w:ascii="Times New Roman" w:hAnsi="Times New Roman" w:cs="Times New Roman"/>
          <w:b/>
          <w:sz w:val="24"/>
          <w:szCs w:val="24"/>
          <w:lang w:val="en-PH"/>
        </w:rPr>
        <w:t>.</w:t>
      </w:r>
    </w:p>
    <w:p w:rsidR="00C35929" w:rsidRPr="00C35929" w:rsidRDefault="00C35929" w:rsidP="00C35929">
      <w:pPr>
        <w:widowControl w:val="0"/>
        <w:tabs>
          <w:tab w:val="left" w:pos="990"/>
        </w:tabs>
        <w:suppressAutoHyphens/>
        <w:overflowPunct w:val="0"/>
        <w:spacing w:after="0" w:line="240" w:lineRule="auto"/>
        <w:contextualSpacing/>
        <w:jc w:val="both"/>
        <w:rPr>
          <w:rFonts w:ascii="Times New Roman" w:hAnsi="Times New Roman" w:cs="Times New Roman"/>
          <w:bCs/>
          <w:sz w:val="24"/>
          <w:szCs w:val="24"/>
        </w:rPr>
      </w:pPr>
    </w:p>
    <w:p w:rsidR="00492403" w:rsidRDefault="005A1262">
      <w:pPr>
        <w:widowControl w:val="0"/>
        <w:tabs>
          <w:tab w:val="left" w:pos="990"/>
        </w:tabs>
        <w:suppressAutoHyphens/>
        <w:overflowPunct w:val="0"/>
        <w:spacing w:after="0" w:line="240" w:lineRule="auto"/>
        <w:ind w:left="990" w:hanging="540"/>
        <w:contextualSpacing/>
        <w:jc w:val="both"/>
        <w:rPr>
          <w:rFonts w:ascii="Times New Roman" w:hAnsi="Times New Roman" w:cs="Times New Roman"/>
          <w:b/>
          <w:bCs/>
          <w:sz w:val="24"/>
          <w:szCs w:val="24"/>
        </w:rPr>
      </w:pPr>
      <w:r>
        <w:rPr>
          <w:rFonts w:ascii="Times New Roman" w:hAnsi="Times New Roman" w:cs="Times New Roman"/>
          <w:b/>
          <w:bCs/>
          <w:sz w:val="24"/>
          <w:szCs w:val="24"/>
        </w:rPr>
        <w:t>4</w:t>
      </w:r>
      <w:r w:rsidR="00C35929">
        <w:rPr>
          <w:rFonts w:ascii="Times New Roman" w:hAnsi="Times New Roman" w:cs="Times New Roman"/>
          <w:b/>
          <w:bCs/>
          <w:sz w:val="24"/>
          <w:szCs w:val="24"/>
        </w:rPr>
        <w:t>.</w:t>
      </w:r>
      <w:r w:rsidR="00785404">
        <w:rPr>
          <w:rFonts w:ascii="Times New Roman" w:hAnsi="Times New Roman" w:cs="Times New Roman"/>
          <w:b/>
          <w:bCs/>
          <w:sz w:val="24"/>
          <w:szCs w:val="24"/>
        </w:rPr>
        <w:t>7</w:t>
      </w:r>
      <w:r w:rsidR="00C35929">
        <w:rPr>
          <w:rFonts w:ascii="Times New Roman" w:hAnsi="Times New Roman" w:cs="Times New Roman"/>
          <w:b/>
          <w:bCs/>
          <w:sz w:val="24"/>
          <w:szCs w:val="24"/>
        </w:rPr>
        <w:tab/>
      </w:r>
      <w:r w:rsidR="00C35929" w:rsidRPr="00C35929">
        <w:rPr>
          <w:rFonts w:ascii="Times New Roman" w:hAnsi="Times New Roman" w:cs="Times New Roman"/>
          <w:b/>
          <w:bCs/>
          <w:sz w:val="24"/>
          <w:szCs w:val="24"/>
        </w:rPr>
        <w:t>We recommend</w:t>
      </w:r>
      <w:r w:rsidR="00C35929">
        <w:rPr>
          <w:rFonts w:ascii="Times New Roman" w:hAnsi="Times New Roman" w:cs="Times New Roman"/>
          <w:b/>
          <w:bCs/>
          <w:sz w:val="24"/>
          <w:szCs w:val="24"/>
        </w:rPr>
        <w:t>ed</w:t>
      </w:r>
      <w:r w:rsidR="00AE75D9">
        <w:rPr>
          <w:rFonts w:ascii="Times New Roman" w:hAnsi="Times New Roman" w:cs="Times New Roman"/>
          <w:b/>
          <w:bCs/>
          <w:sz w:val="24"/>
          <w:szCs w:val="24"/>
        </w:rPr>
        <w:t xml:space="preserve"> </w:t>
      </w:r>
      <w:r w:rsidR="00F825E5">
        <w:rPr>
          <w:rFonts w:ascii="Times New Roman" w:hAnsi="Times New Roman" w:cs="Times New Roman"/>
          <w:b/>
          <w:bCs/>
          <w:sz w:val="24"/>
          <w:szCs w:val="24"/>
        </w:rPr>
        <w:t xml:space="preserve">and Management agreed </w:t>
      </w:r>
      <w:r w:rsidR="00C60192">
        <w:rPr>
          <w:rFonts w:ascii="Times New Roman" w:hAnsi="Times New Roman" w:cs="Times New Roman"/>
          <w:b/>
          <w:bCs/>
          <w:sz w:val="24"/>
          <w:szCs w:val="24"/>
        </w:rPr>
        <w:t>to</w:t>
      </w:r>
      <w:r w:rsidR="0017583C">
        <w:rPr>
          <w:rFonts w:ascii="Times New Roman" w:hAnsi="Times New Roman" w:cs="Times New Roman"/>
          <w:b/>
          <w:bCs/>
          <w:sz w:val="24"/>
          <w:szCs w:val="24"/>
        </w:rPr>
        <w:t xml:space="preserve"> </w:t>
      </w:r>
      <w:r w:rsidR="00CF0E27">
        <w:rPr>
          <w:rFonts w:ascii="Times New Roman" w:hAnsi="Times New Roman" w:cs="Times New Roman"/>
          <w:b/>
          <w:bCs/>
          <w:sz w:val="24"/>
          <w:szCs w:val="24"/>
        </w:rPr>
        <w:t>exert additional efforts in</w:t>
      </w:r>
      <w:r w:rsidR="005015AE">
        <w:rPr>
          <w:rFonts w:ascii="Times New Roman" w:hAnsi="Times New Roman" w:cs="Times New Roman"/>
          <w:b/>
          <w:bCs/>
          <w:sz w:val="24"/>
          <w:szCs w:val="24"/>
        </w:rPr>
        <w:t xml:space="preserve"> further</w:t>
      </w:r>
      <w:r w:rsidR="004F4D96">
        <w:rPr>
          <w:rFonts w:ascii="Times New Roman" w:hAnsi="Times New Roman" w:cs="Times New Roman"/>
          <w:b/>
          <w:bCs/>
          <w:sz w:val="24"/>
          <w:szCs w:val="24"/>
        </w:rPr>
        <w:t xml:space="preserve"> identify</w:t>
      </w:r>
      <w:r w:rsidR="00CF0E27">
        <w:rPr>
          <w:rFonts w:ascii="Times New Roman" w:hAnsi="Times New Roman" w:cs="Times New Roman"/>
          <w:b/>
          <w:bCs/>
          <w:sz w:val="24"/>
          <w:szCs w:val="24"/>
        </w:rPr>
        <w:t>ing</w:t>
      </w:r>
      <w:r w:rsidR="00360976">
        <w:rPr>
          <w:rFonts w:ascii="Times New Roman" w:hAnsi="Times New Roman" w:cs="Times New Roman"/>
          <w:b/>
          <w:bCs/>
          <w:sz w:val="24"/>
          <w:szCs w:val="24"/>
        </w:rPr>
        <w:t xml:space="preserve"> </w:t>
      </w:r>
      <w:r w:rsidR="00942284">
        <w:rPr>
          <w:rFonts w:ascii="Times New Roman" w:hAnsi="Times New Roman" w:cs="Times New Roman"/>
          <w:b/>
          <w:bCs/>
          <w:sz w:val="24"/>
          <w:szCs w:val="24"/>
        </w:rPr>
        <w:t xml:space="preserve">gender issues and concerns in order to incorporate the same in their </w:t>
      </w:r>
      <w:r w:rsidR="004F4D96">
        <w:rPr>
          <w:rFonts w:ascii="Times New Roman" w:hAnsi="Times New Roman" w:cs="Times New Roman"/>
          <w:b/>
          <w:bCs/>
          <w:sz w:val="24"/>
          <w:szCs w:val="24"/>
        </w:rPr>
        <w:t>regular agency activities</w:t>
      </w:r>
      <w:r w:rsidR="00785404">
        <w:rPr>
          <w:rFonts w:ascii="Times New Roman" w:hAnsi="Times New Roman" w:cs="Times New Roman"/>
          <w:b/>
          <w:bCs/>
          <w:sz w:val="24"/>
          <w:szCs w:val="24"/>
        </w:rPr>
        <w:t xml:space="preserve"> and thereby </w:t>
      </w:r>
      <w:r w:rsidR="00942284">
        <w:rPr>
          <w:rFonts w:ascii="Times New Roman" w:hAnsi="Times New Roman" w:cs="Times New Roman"/>
          <w:b/>
          <w:bCs/>
          <w:sz w:val="24"/>
          <w:szCs w:val="24"/>
        </w:rPr>
        <w:t xml:space="preserve">contribute to the enhancement in the performance of their mandate. </w:t>
      </w:r>
      <w:r w:rsidR="00346121">
        <w:rPr>
          <w:rFonts w:ascii="Times New Roman" w:hAnsi="Times New Roman" w:cs="Times New Roman"/>
          <w:b/>
          <w:bCs/>
          <w:sz w:val="24"/>
          <w:szCs w:val="24"/>
        </w:rPr>
        <w:t>We further recommended that the GFPS</w:t>
      </w:r>
      <w:r w:rsidR="00B93BCF">
        <w:rPr>
          <w:rFonts w:ascii="Times New Roman" w:hAnsi="Times New Roman" w:cs="Times New Roman"/>
          <w:b/>
          <w:bCs/>
          <w:sz w:val="24"/>
          <w:szCs w:val="24"/>
        </w:rPr>
        <w:t xml:space="preserve"> </w:t>
      </w:r>
      <w:r w:rsidR="00346121">
        <w:rPr>
          <w:rFonts w:ascii="Times New Roman" w:hAnsi="Times New Roman" w:cs="Times New Roman"/>
          <w:b/>
          <w:bCs/>
          <w:sz w:val="24"/>
          <w:szCs w:val="24"/>
        </w:rPr>
        <w:t xml:space="preserve">continue </w:t>
      </w:r>
      <w:r w:rsidR="00B93BCF">
        <w:rPr>
          <w:rFonts w:ascii="Times New Roman" w:hAnsi="Times New Roman" w:cs="Times New Roman"/>
          <w:b/>
          <w:bCs/>
          <w:sz w:val="24"/>
          <w:szCs w:val="24"/>
        </w:rPr>
        <w:t xml:space="preserve">to </w:t>
      </w:r>
      <w:r w:rsidR="00346121">
        <w:rPr>
          <w:rFonts w:ascii="Times New Roman" w:hAnsi="Times New Roman" w:cs="Times New Roman"/>
          <w:b/>
          <w:bCs/>
          <w:sz w:val="24"/>
          <w:szCs w:val="24"/>
        </w:rPr>
        <w:t xml:space="preserve">implement the GAD activities and programs and enhance the participation of the employees to achieve </w:t>
      </w:r>
      <w:r w:rsidR="00346121">
        <w:rPr>
          <w:rFonts w:ascii="Times New Roman" w:hAnsi="Times New Roman" w:cs="Times New Roman"/>
          <w:b/>
          <w:bCs/>
          <w:sz w:val="24"/>
          <w:szCs w:val="24"/>
        </w:rPr>
        <w:lastRenderedPageBreak/>
        <w:t>the targeted goals of the agency.</w:t>
      </w:r>
    </w:p>
    <w:p w:rsidR="00346121" w:rsidRDefault="00346121">
      <w:pPr>
        <w:widowControl w:val="0"/>
        <w:tabs>
          <w:tab w:val="left" w:pos="990"/>
        </w:tabs>
        <w:suppressAutoHyphens/>
        <w:overflowPunct w:val="0"/>
        <w:spacing w:after="0" w:line="240" w:lineRule="auto"/>
        <w:ind w:left="990" w:hanging="540"/>
        <w:contextualSpacing/>
        <w:jc w:val="both"/>
        <w:rPr>
          <w:rFonts w:ascii="Times New Roman" w:hAnsi="Times New Roman" w:cs="Times New Roman"/>
          <w:b/>
          <w:bCs/>
          <w:sz w:val="24"/>
          <w:szCs w:val="24"/>
        </w:rPr>
      </w:pPr>
    </w:p>
    <w:p w:rsidR="00346121" w:rsidRDefault="00346121">
      <w:pPr>
        <w:widowControl w:val="0"/>
        <w:tabs>
          <w:tab w:val="left" w:pos="990"/>
        </w:tabs>
        <w:suppressAutoHyphens/>
        <w:overflowPunct w:val="0"/>
        <w:spacing w:after="0" w:line="240" w:lineRule="auto"/>
        <w:ind w:left="990" w:hanging="540"/>
        <w:contextualSpacing/>
        <w:jc w:val="both"/>
        <w:rPr>
          <w:rFonts w:ascii="Times New Roman" w:hAnsi="Times New Roman" w:cs="Times New Roman"/>
          <w:b/>
          <w:bCs/>
          <w:sz w:val="24"/>
          <w:szCs w:val="24"/>
        </w:rPr>
      </w:pPr>
    </w:p>
    <w:p w:rsidR="00492403" w:rsidRPr="002D63D8" w:rsidRDefault="00492403" w:rsidP="00C35929">
      <w:pPr>
        <w:spacing w:after="0" w:line="240" w:lineRule="auto"/>
        <w:contextualSpacing/>
        <w:jc w:val="both"/>
        <w:rPr>
          <w:rFonts w:ascii="Times New Roman" w:hAnsi="Times New Roman" w:cs="Times New Roman"/>
          <w:b/>
          <w:bCs/>
          <w:sz w:val="24"/>
          <w:szCs w:val="24"/>
        </w:rPr>
      </w:pPr>
      <w:r w:rsidRPr="00486CCB">
        <w:rPr>
          <w:rFonts w:ascii="Times New Roman" w:hAnsi="Times New Roman" w:cs="Times New Roman"/>
          <w:b/>
          <w:bCs/>
          <w:sz w:val="24"/>
          <w:szCs w:val="24"/>
        </w:rPr>
        <w:t xml:space="preserve">Senior Citizens and </w:t>
      </w:r>
      <w:r w:rsidR="00CF0F7F">
        <w:rPr>
          <w:rFonts w:ascii="Times New Roman" w:hAnsi="Times New Roman" w:cs="Times New Roman"/>
          <w:b/>
          <w:bCs/>
          <w:sz w:val="24"/>
          <w:szCs w:val="24"/>
        </w:rPr>
        <w:t>Persons with Disability</w:t>
      </w:r>
    </w:p>
    <w:p w:rsidR="008A4439" w:rsidRPr="00C35929" w:rsidRDefault="008A4439" w:rsidP="00C35929">
      <w:pPr>
        <w:spacing w:after="0" w:line="240" w:lineRule="auto"/>
        <w:contextualSpacing/>
        <w:jc w:val="both"/>
        <w:rPr>
          <w:rFonts w:ascii="Times New Roman" w:hAnsi="Times New Roman" w:cs="Times New Roman"/>
          <w:b/>
          <w:bCs/>
          <w:sz w:val="24"/>
          <w:szCs w:val="24"/>
        </w:rPr>
      </w:pPr>
    </w:p>
    <w:p w:rsidR="00492403" w:rsidRPr="002D63D8" w:rsidRDefault="00701692" w:rsidP="00366F9F">
      <w:pPr>
        <w:pStyle w:val="ListParagraph"/>
        <w:numPr>
          <w:ilvl w:val="0"/>
          <w:numId w:val="2"/>
        </w:numPr>
        <w:spacing w:after="0" w:line="240" w:lineRule="auto"/>
        <w:ind w:left="450" w:hanging="450"/>
        <w:contextualSpacing/>
        <w:jc w:val="both"/>
        <w:rPr>
          <w:rFonts w:ascii="Times New Roman" w:hAnsi="Times New Roman"/>
          <w:b/>
          <w:sz w:val="24"/>
          <w:szCs w:val="24"/>
        </w:rPr>
      </w:pPr>
      <w:r w:rsidRPr="002D63D8">
        <w:rPr>
          <w:rFonts w:ascii="Times New Roman" w:hAnsi="Times New Roman"/>
          <w:b/>
          <w:sz w:val="24"/>
          <w:szCs w:val="24"/>
        </w:rPr>
        <w:t>T</w:t>
      </w:r>
      <w:r w:rsidR="00492403" w:rsidRPr="002D63D8">
        <w:rPr>
          <w:rFonts w:ascii="Times New Roman" w:hAnsi="Times New Roman"/>
          <w:b/>
          <w:sz w:val="24"/>
          <w:szCs w:val="24"/>
        </w:rPr>
        <w:t xml:space="preserve">he agency </w:t>
      </w:r>
      <w:r w:rsidR="00984B02" w:rsidRPr="002D63D8">
        <w:rPr>
          <w:rFonts w:ascii="Times New Roman" w:hAnsi="Times New Roman"/>
          <w:b/>
          <w:sz w:val="24"/>
          <w:szCs w:val="24"/>
        </w:rPr>
        <w:t>provided facilities/structural features that reasonably aid</w:t>
      </w:r>
      <w:r w:rsidR="00AE4652" w:rsidRPr="002D63D8">
        <w:rPr>
          <w:rFonts w:ascii="Times New Roman" w:hAnsi="Times New Roman"/>
          <w:b/>
          <w:sz w:val="24"/>
          <w:szCs w:val="24"/>
        </w:rPr>
        <w:t>ed</w:t>
      </w:r>
      <w:r w:rsidR="00984B02" w:rsidRPr="002D63D8">
        <w:rPr>
          <w:rFonts w:ascii="Times New Roman" w:hAnsi="Times New Roman"/>
          <w:b/>
          <w:sz w:val="24"/>
          <w:szCs w:val="24"/>
        </w:rPr>
        <w:t xml:space="preserve"> the mobility, safety and welfare of the </w:t>
      </w:r>
      <w:r w:rsidR="00CF0F7F">
        <w:rPr>
          <w:rFonts w:ascii="Times New Roman" w:hAnsi="Times New Roman"/>
          <w:b/>
          <w:sz w:val="24"/>
          <w:szCs w:val="24"/>
        </w:rPr>
        <w:t>persons with disability</w:t>
      </w:r>
      <w:r w:rsidR="0003126D" w:rsidRPr="002D63D8">
        <w:rPr>
          <w:rFonts w:ascii="Times New Roman" w:hAnsi="Times New Roman"/>
          <w:b/>
          <w:sz w:val="24"/>
          <w:szCs w:val="24"/>
        </w:rPr>
        <w:t xml:space="preserve"> and senior citizens</w:t>
      </w:r>
      <w:r w:rsidR="00984B02" w:rsidRPr="002D63D8">
        <w:rPr>
          <w:rFonts w:ascii="Times New Roman" w:hAnsi="Times New Roman"/>
          <w:b/>
          <w:sz w:val="24"/>
          <w:szCs w:val="24"/>
        </w:rPr>
        <w:t xml:space="preserve"> </w:t>
      </w:r>
      <w:r w:rsidR="00477E98" w:rsidRPr="002D63D8">
        <w:rPr>
          <w:rFonts w:ascii="Times New Roman" w:hAnsi="Times New Roman"/>
          <w:b/>
          <w:sz w:val="24"/>
          <w:szCs w:val="24"/>
        </w:rPr>
        <w:t>as required</w:t>
      </w:r>
      <w:r w:rsidR="00984B02" w:rsidRPr="002D63D8">
        <w:rPr>
          <w:rFonts w:ascii="Times New Roman" w:hAnsi="Times New Roman"/>
          <w:b/>
          <w:sz w:val="24"/>
          <w:szCs w:val="24"/>
        </w:rPr>
        <w:t xml:space="preserve"> </w:t>
      </w:r>
      <w:r w:rsidRPr="002D63D8">
        <w:rPr>
          <w:rFonts w:ascii="Times New Roman" w:hAnsi="Times New Roman"/>
          <w:b/>
          <w:sz w:val="24"/>
          <w:szCs w:val="24"/>
        </w:rPr>
        <w:t>under Section 3</w:t>
      </w:r>
      <w:r w:rsidR="004B3E59">
        <w:rPr>
          <w:rFonts w:ascii="Times New Roman" w:hAnsi="Times New Roman"/>
          <w:b/>
          <w:sz w:val="24"/>
          <w:szCs w:val="24"/>
        </w:rPr>
        <w:t>6</w:t>
      </w:r>
      <w:r w:rsidRPr="002D63D8">
        <w:rPr>
          <w:rFonts w:ascii="Times New Roman" w:hAnsi="Times New Roman"/>
          <w:b/>
          <w:sz w:val="24"/>
          <w:szCs w:val="24"/>
        </w:rPr>
        <w:t xml:space="preserve"> of the General Provisions of the </w:t>
      </w:r>
      <w:r w:rsidR="004B3E59">
        <w:rPr>
          <w:rFonts w:ascii="Times New Roman" w:hAnsi="Times New Roman"/>
          <w:b/>
          <w:sz w:val="24"/>
          <w:szCs w:val="24"/>
        </w:rPr>
        <w:t>GAA</w:t>
      </w:r>
      <w:r w:rsidR="00E57F45">
        <w:rPr>
          <w:rFonts w:ascii="Times New Roman" w:hAnsi="Times New Roman"/>
          <w:b/>
          <w:sz w:val="24"/>
          <w:szCs w:val="24"/>
        </w:rPr>
        <w:t xml:space="preserve"> of</w:t>
      </w:r>
      <w:r w:rsidRPr="002D63D8">
        <w:rPr>
          <w:rFonts w:ascii="Times New Roman" w:hAnsi="Times New Roman"/>
          <w:b/>
          <w:sz w:val="24"/>
          <w:szCs w:val="24"/>
        </w:rPr>
        <w:t xml:space="preserve"> FY 201</w:t>
      </w:r>
      <w:r w:rsidR="004B3E59">
        <w:rPr>
          <w:rFonts w:ascii="Times New Roman" w:hAnsi="Times New Roman"/>
          <w:b/>
          <w:sz w:val="24"/>
          <w:szCs w:val="24"/>
        </w:rPr>
        <w:t>6</w:t>
      </w:r>
      <w:r w:rsidR="00984B02" w:rsidRPr="002D63D8">
        <w:rPr>
          <w:rFonts w:ascii="Times New Roman" w:hAnsi="Times New Roman"/>
          <w:b/>
          <w:sz w:val="24"/>
          <w:szCs w:val="24"/>
        </w:rPr>
        <w:t>.</w:t>
      </w:r>
      <w:r w:rsidR="00492403" w:rsidRPr="002D63D8">
        <w:rPr>
          <w:rFonts w:ascii="Times New Roman" w:hAnsi="Times New Roman"/>
          <w:b/>
          <w:sz w:val="24"/>
          <w:szCs w:val="24"/>
        </w:rPr>
        <w:t xml:space="preserve"> </w:t>
      </w:r>
      <w:r w:rsidR="00FF0EEB" w:rsidRPr="002D63D8">
        <w:rPr>
          <w:rFonts w:ascii="Times New Roman" w:hAnsi="Times New Roman"/>
          <w:b/>
          <w:sz w:val="24"/>
          <w:szCs w:val="24"/>
        </w:rPr>
        <w:t xml:space="preserve"> </w:t>
      </w:r>
    </w:p>
    <w:p w:rsidR="00326A86" w:rsidRPr="000E0BF6" w:rsidRDefault="00326A86" w:rsidP="00B21032">
      <w:pPr>
        <w:pStyle w:val="ListParagraph"/>
        <w:spacing w:after="0" w:line="240" w:lineRule="auto"/>
        <w:ind w:left="1260"/>
        <w:contextualSpacing/>
        <w:jc w:val="both"/>
        <w:rPr>
          <w:rFonts w:ascii="Times New Roman" w:hAnsi="Times New Roman"/>
          <w:b/>
          <w:sz w:val="24"/>
          <w:szCs w:val="24"/>
        </w:rPr>
      </w:pPr>
    </w:p>
    <w:p w:rsidR="00326A86" w:rsidRPr="00326A86" w:rsidRDefault="00492403" w:rsidP="00B21032">
      <w:pPr>
        <w:pStyle w:val="ListParagraph"/>
        <w:numPr>
          <w:ilvl w:val="1"/>
          <w:numId w:val="2"/>
        </w:numPr>
        <w:spacing w:after="0" w:line="240" w:lineRule="auto"/>
        <w:ind w:left="990" w:hanging="540"/>
        <w:contextualSpacing/>
        <w:jc w:val="both"/>
        <w:rPr>
          <w:rFonts w:ascii="Times New Roman" w:hAnsi="Times New Roman"/>
          <w:sz w:val="24"/>
          <w:szCs w:val="24"/>
        </w:rPr>
      </w:pPr>
      <w:r w:rsidRPr="00326A86">
        <w:rPr>
          <w:rFonts w:ascii="Times New Roman" w:hAnsi="Times New Roman"/>
          <w:sz w:val="24"/>
          <w:szCs w:val="24"/>
        </w:rPr>
        <w:t xml:space="preserve">Section </w:t>
      </w:r>
      <w:r w:rsidR="00326A86" w:rsidRPr="00326A86">
        <w:rPr>
          <w:rFonts w:ascii="Times New Roman" w:hAnsi="Times New Roman"/>
          <w:sz w:val="24"/>
          <w:szCs w:val="24"/>
        </w:rPr>
        <w:t>3</w:t>
      </w:r>
      <w:r w:rsidR="004B3E59">
        <w:rPr>
          <w:rFonts w:ascii="Times New Roman" w:hAnsi="Times New Roman"/>
          <w:sz w:val="24"/>
          <w:szCs w:val="24"/>
        </w:rPr>
        <w:t>6</w:t>
      </w:r>
      <w:r w:rsidRPr="00326A86">
        <w:rPr>
          <w:rFonts w:ascii="Times New Roman" w:hAnsi="Times New Roman"/>
          <w:sz w:val="24"/>
          <w:szCs w:val="24"/>
        </w:rPr>
        <w:t xml:space="preserve"> of </w:t>
      </w:r>
      <w:r w:rsidR="00E57F45">
        <w:rPr>
          <w:rFonts w:ascii="Times New Roman" w:hAnsi="Times New Roman"/>
          <w:sz w:val="24"/>
          <w:szCs w:val="24"/>
        </w:rPr>
        <w:t>GAA of</w:t>
      </w:r>
      <w:r w:rsidR="00326A86" w:rsidRPr="00326A86">
        <w:rPr>
          <w:rFonts w:ascii="Times New Roman" w:hAnsi="Times New Roman"/>
          <w:sz w:val="24"/>
          <w:szCs w:val="24"/>
        </w:rPr>
        <w:t xml:space="preserve"> FY 201</w:t>
      </w:r>
      <w:r w:rsidR="004B3E59">
        <w:rPr>
          <w:rFonts w:ascii="Times New Roman" w:hAnsi="Times New Roman"/>
          <w:sz w:val="24"/>
          <w:szCs w:val="24"/>
        </w:rPr>
        <w:t>6</w:t>
      </w:r>
      <w:r w:rsidRPr="00326A86">
        <w:rPr>
          <w:rFonts w:ascii="Times New Roman" w:hAnsi="Times New Roman"/>
          <w:sz w:val="24"/>
          <w:szCs w:val="24"/>
        </w:rPr>
        <w:t xml:space="preserve"> provides tha</w:t>
      </w:r>
      <w:r w:rsidR="00871EB7" w:rsidRPr="00352593">
        <w:rPr>
          <w:rFonts w:ascii="Times New Roman" w:hAnsi="Times New Roman"/>
          <w:sz w:val="24"/>
          <w:szCs w:val="24"/>
        </w:rPr>
        <w:t>t</w:t>
      </w:r>
      <w:r w:rsidR="00871EB7">
        <w:rPr>
          <w:rFonts w:ascii="Times New Roman" w:hAnsi="Times New Roman"/>
          <w:sz w:val="24"/>
          <w:szCs w:val="24"/>
        </w:rPr>
        <w:t xml:space="preserve"> </w:t>
      </w:r>
      <w:r w:rsidRPr="00326A86">
        <w:rPr>
          <w:rFonts w:ascii="Times New Roman" w:hAnsi="Times New Roman"/>
          <w:i/>
          <w:sz w:val="24"/>
          <w:szCs w:val="24"/>
        </w:rPr>
        <w:t>“All agencies of the government shall formulate plans, programs and projects intended to address the concerns of senior citizens and persons</w:t>
      </w:r>
      <w:r w:rsidR="00326A86" w:rsidRPr="00326A86">
        <w:rPr>
          <w:rFonts w:ascii="Times New Roman" w:hAnsi="Times New Roman"/>
          <w:i/>
          <w:sz w:val="24"/>
          <w:szCs w:val="24"/>
        </w:rPr>
        <w:t xml:space="preserve"> with disability</w:t>
      </w:r>
      <w:r w:rsidRPr="00326A86">
        <w:rPr>
          <w:rFonts w:ascii="Times New Roman" w:hAnsi="Times New Roman"/>
          <w:i/>
          <w:sz w:val="24"/>
          <w:szCs w:val="24"/>
        </w:rPr>
        <w:t xml:space="preserve">, </w:t>
      </w:r>
      <w:r w:rsidR="00326A86" w:rsidRPr="00326A86">
        <w:rPr>
          <w:rFonts w:ascii="Times New Roman" w:hAnsi="Times New Roman"/>
          <w:i/>
          <w:sz w:val="24"/>
          <w:szCs w:val="24"/>
        </w:rPr>
        <w:t>insofar as it relates to their mandated functions, and integrate the same in their regular activities</w:t>
      </w:r>
      <w:r w:rsidRPr="00326A86">
        <w:rPr>
          <w:rFonts w:ascii="Times New Roman" w:hAnsi="Times New Roman"/>
          <w:i/>
          <w:sz w:val="24"/>
          <w:szCs w:val="24"/>
        </w:rPr>
        <w:t xml:space="preserve">.”  </w:t>
      </w:r>
    </w:p>
    <w:p w:rsidR="00326A86" w:rsidRPr="00326A86" w:rsidRDefault="00326A86" w:rsidP="00B21032">
      <w:pPr>
        <w:spacing w:after="0" w:line="240" w:lineRule="auto"/>
        <w:contextualSpacing/>
        <w:jc w:val="both"/>
        <w:rPr>
          <w:rFonts w:ascii="Times New Roman" w:hAnsi="Times New Roman"/>
          <w:sz w:val="24"/>
          <w:szCs w:val="24"/>
        </w:rPr>
      </w:pPr>
    </w:p>
    <w:p w:rsidR="004D1150" w:rsidRPr="00352593" w:rsidRDefault="00492403" w:rsidP="00352593">
      <w:pPr>
        <w:pStyle w:val="ListParagraph"/>
        <w:numPr>
          <w:ilvl w:val="1"/>
          <w:numId w:val="2"/>
        </w:numPr>
        <w:spacing w:after="0" w:line="240" w:lineRule="auto"/>
        <w:ind w:left="990" w:hanging="540"/>
        <w:contextualSpacing/>
        <w:jc w:val="both"/>
        <w:rPr>
          <w:rFonts w:ascii="Times New Roman" w:hAnsi="Times New Roman"/>
          <w:sz w:val="24"/>
          <w:szCs w:val="24"/>
        </w:rPr>
      </w:pPr>
      <w:r w:rsidRPr="00326A86">
        <w:rPr>
          <w:rFonts w:ascii="Times New Roman" w:hAnsi="Times New Roman"/>
          <w:sz w:val="24"/>
          <w:szCs w:val="24"/>
        </w:rPr>
        <w:t>For CY 201</w:t>
      </w:r>
      <w:r w:rsidR="004B3E59">
        <w:rPr>
          <w:rFonts w:ascii="Times New Roman" w:hAnsi="Times New Roman"/>
          <w:sz w:val="24"/>
          <w:szCs w:val="24"/>
        </w:rPr>
        <w:t>6</w:t>
      </w:r>
      <w:r w:rsidRPr="00326A86">
        <w:rPr>
          <w:rFonts w:ascii="Times New Roman" w:hAnsi="Times New Roman"/>
          <w:sz w:val="24"/>
          <w:szCs w:val="24"/>
        </w:rPr>
        <w:t xml:space="preserve">, </w:t>
      </w:r>
      <w:r w:rsidR="00BF4AAE">
        <w:rPr>
          <w:rFonts w:ascii="Times New Roman" w:hAnsi="Times New Roman"/>
          <w:sz w:val="24"/>
          <w:szCs w:val="24"/>
        </w:rPr>
        <w:t xml:space="preserve">the agency </w:t>
      </w:r>
      <w:r w:rsidR="00D1606B">
        <w:rPr>
          <w:rFonts w:ascii="Times New Roman" w:hAnsi="Times New Roman"/>
          <w:sz w:val="24"/>
          <w:szCs w:val="24"/>
        </w:rPr>
        <w:t>allocated funds for activities/programs and other services</w:t>
      </w:r>
      <w:r w:rsidR="006C01D1" w:rsidRPr="006C01D1">
        <w:rPr>
          <w:rFonts w:ascii="Times New Roman" w:hAnsi="Times New Roman"/>
          <w:sz w:val="24"/>
          <w:szCs w:val="24"/>
        </w:rPr>
        <w:t xml:space="preserve"> </w:t>
      </w:r>
      <w:r w:rsidR="006C01D1">
        <w:rPr>
          <w:rFonts w:ascii="Times New Roman" w:hAnsi="Times New Roman"/>
          <w:sz w:val="24"/>
          <w:szCs w:val="24"/>
        </w:rPr>
        <w:t xml:space="preserve">intended for </w:t>
      </w:r>
      <w:r w:rsidR="00D1606B">
        <w:rPr>
          <w:rFonts w:ascii="Times New Roman" w:hAnsi="Times New Roman"/>
          <w:sz w:val="24"/>
          <w:szCs w:val="24"/>
        </w:rPr>
        <w:t>senior citizens and persons with disability (PWD) as presented below:</w:t>
      </w:r>
    </w:p>
    <w:p w:rsidR="004D1150" w:rsidRPr="00820F5B" w:rsidRDefault="004D1150" w:rsidP="00D1606B">
      <w:pPr>
        <w:spacing w:after="0" w:line="240" w:lineRule="auto"/>
        <w:contextualSpacing/>
        <w:jc w:val="both"/>
        <w:rPr>
          <w:rFonts w:ascii="Times New Roman" w:hAnsi="Times New Roman"/>
          <w:sz w:val="24"/>
          <w:szCs w:val="24"/>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160"/>
      </w:tblGrid>
      <w:tr w:rsidR="00820F5B" w:rsidTr="00CE2DEF">
        <w:tc>
          <w:tcPr>
            <w:tcW w:w="5490" w:type="dxa"/>
            <w:tcBorders>
              <w:top w:val="single" w:sz="4" w:space="0" w:color="auto"/>
              <w:bottom w:val="single" w:sz="4" w:space="0" w:color="auto"/>
            </w:tcBorders>
          </w:tcPr>
          <w:p w:rsidR="00820F5B" w:rsidRPr="00D1606B" w:rsidRDefault="00820F5B" w:rsidP="00D1606B">
            <w:pPr>
              <w:spacing w:after="0" w:line="240" w:lineRule="auto"/>
              <w:contextualSpacing/>
              <w:jc w:val="center"/>
              <w:rPr>
                <w:rFonts w:ascii="Times New Roman" w:hAnsi="Times New Roman"/>
                <w:b/>
                <w:sz w:val="20"/>
                <w:szCs w:val="20"/>
              </w:rPr>
            </w:pPr>
            <w:r w:rsidRPr="00D1606B">
              <w:rPr>
                <w:rFonts w:ascii="Times New Roman" w:hAnsi="Times New Roman"/>
                <w:b/>
                <w:sz w:val="20"/>
                <w:szCs w:val="20"/>
              </w:rPr>
              <w:t>Programs/Activities and Services Provided</w:t>
            </w:r>
          </w:p>
        </w:tc>
        <w:tc>
          <w:tcPr>
            <w:tcW w:w="2160" w:type="dxa"/>
            <w:tcBorders>
              <w:top w:val="single" w:sz="4" w:space="0" w:color="auto"/>
              <w:bottom w:val="single" w:sz="4" w:space="0" w:color="auto"/>
            </w:tcBorders>
          </w:tcPr>
          <w:p w:rsidR="00820F5B" w:rsidRPr="00D1606B" w:rsidRDefault="00820F5B" w:rsidP="00D1606B">
            <w:pPr>
              <w:spacing w:after="0" w:line="240" w:lineRule="auto"/>
              <w:contextualSpacing/>
              <w:jc w:val="center"/>
              <w:rPr>
                <w:rFonts w:ascii="Times New Roman" w:hAnsi="Times New Roman"/>
                <w:b/>
                <w:sz w:val="20"/>
                <w:szCs w:val="20"/>
              </w:rPr>
            </w:pPr>
            <w:r w:rsidRPr="00D1606B">
              <w:rPr>
                <w:rFonts w:ascii="Times New Roman" w:hAnsi="Times New Roman"/>
                <w:b/>
                <w:sz w:val="20"/>
                <w:szCs w:val="20"/>
              </w:rPr>
              <w:t>Amount</w:t>
            </w:r>
          </w:p>
        </w:tc>
      </w:tr>
      <w:tr w:rsidR="00820F5B" w:rsidTr="00CE2DEF">
        <w:tc>
          <w:tcPr>
            <w:tcW w:w="5490" w:type="dxa"/>
            <w:tcBorders>
              <w:top w:val="single" w:sz="4" w:space="0" w:color="auto"/>
            </w:tcBorders>
          </w:tcPr>
          <w:p w:rsidR="00820F5B" w:rsidRDefault="00820F5B" w:rsidP="00D1606B">
            <w:pPr>
              <w:spacing w:after="0" w:line="240" w:lineRule="auto"/>
              <w:contextualSpacing/>
              <w:jc w:val="both"/>
              <w:rPr>
                <w:rFonts w:ascii="Times New Roman" w:hAnsi="Times New Roman" w:cs="Times New Roman"/>
                <w:b/>
                <w:sz w:val="20"/>
                <w:szCs w:val="20"/>
              </w:rPr>
            </w:pPr>
            <w:r w:rsidRPr="00820F5B">
              <w:rPr>
                <w:rFonts w:ascii="Times New Roman" w:hAnsi="Times New Roman" w:cs="Times New Roman"/>
                <w:b/>
                <w:sz w:val="20"/>
                <w:szCs w:val="20"/>
              </w:rPr>
              <w:t>Renovation of Two (2) Toilet Cubicles</w:t>
            </w:r>
          </w:p>
          <w:p w:rsidR="00820F5B" w:rsidRPr="00820F5B" w:rsidRDefault="00820F5B" w:rsidP="00D1606B">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The agency </w:t>
            </w:r>
            <w:r w:rsidRPr="00820F5B">
              <w:rPr>
                <w:rFonts w:ascii="Times New Roman" w:hAnsi="Times New Roman" w:cs="Times New Roman"/>
                <w:sz w:val="20"/>
                <w:szCs w:val="20"/>
              </w:rPr>
              <w:t>renovated two toilet cubicles, on</w:t>
            </w:r>
            <w:r w:rsidR="00D1606B">
              <w:rPr>
                <w:rFonts w:ascii="Times New Roman" w:hAnsi="Times New Roman" w:cs="Times New Roman"/>
                <w:sz w:val="20"/>
                <w:szCs w:val="20"/>
              </w:rPr>
              <w:t>e at the ground floor male comfort room and another at the ground floor female comfort room.</w:t>
            </w:r>
          </w:p>
        </w:tc>
        <w:tc>
          <w:tcPr>
            <w:tcW w:w="2160" w:type="dxa"/>
            <w:tcBorders>
              <w:top w:val="single" w:sz="4" w:space="0" w:color="auto"/>
            </w:tcBorders>
          </w:tcPr>
          <w:p w:rsidR="00820F5B" w:rsidRPr="00D1606B" w:rsidRDefault="00486CCB" w:rsidP="00486CCB">
            <w:pPr>
              <w:spacing w:after="0" w:line="240" w:lineRule="auto"/>
              <w:contextualSpacing/>
              <w:jc w:val="center"/>
              <w:rPr>
                <w:rFonts w:ascii="Times New Roman" w:hAnsi="Times New Roman"/>
                <w:sz w:val="20"/>
                <w:szCs w:val="20"/>
              </w:rPr>
            </w:pPr>
            <w:r w:rsidRPr="00486CCB">
              <w:rPr>
                <w:rFonts w:ascii="Times New Roman" w:eastAsia="Times New Roman" w:hAnsi="Times New Roman"/>
                <w:dstrike/>
                <w:sz w:val="20"/>
                <w:szCs w:val="20"/>
              </w:rPr>
              <w:t>P</w:t>
            </w:r>
            <w:r w:rsidRPr="00D1606B">
              <w:rPr>
                <w:rFonts w:ascii="Times New Roman" w:hAnsi="Times New Roman"/>
                <w:sz w:val="20"/>
                <w:szCs w:val="20"/>
              </w:rPr>
              <w:t xml:space="preserve"> </w:t>
            </w:r>
            <w:r>
              <w:rPr>
                <w:rFonts w:ascii="Times New Roman" w:hAnsi="Times New Roman"/>
                <w:sz w:val="20"/>
                <w:szCs w:val="20"/>
              </w:rPr>
              <w:t xml:space="preserve"> </w:t>
            </w:r>
            <w:r w:rsidR="00D1606B" w:rsidRPr="00D1606B">
              <w:rPr>
                <w:rFonts w:ascii="Times New Roman" w:hAnsi="Times New Roman"/>
                <w:sz w:val="20"/>
                <w:szCs w:val="20"/>
              </w:rPr>
              <w:t>39,820.28</w:t>
            </w:r>
          </w:p>
        </w:tc>
      </w:tr>
      <w:tr w:rsidR="00820F5B" w:rsidTr="00CE2DEF">
        <w:trPr>
          <w:trHeight w:val="899"/>
        </w:trPr>
        <w:tc>
          <w:tcPr>
            <w:tcW w:w="5490" w:type="dxa"/>
            <w:tcBorders>
              <w:bottom w:val="single" w:sz="4" w:space="0" w:color="auto"/>
            </w:tcBorders>
          </w:tcPr>
          <w:p w:rsidR="00D1606B" w:rsidRPr="00D1606B" w:rsidRDefault="00D1606B" w:rsidP="00D1606B">
            <w:pPr>
              <w:spacing w:after="0" w:line="240" w:lineRule="auto"/>
              <w:contextualSpacing/>
              <w:jc w:val="both"/>
              <w:rPr>
                <w:rFonts w:ascii="Times New Roman" w:hAnsi="Times New Roman" w:cs="Times New Roman"/>
                <w:b/>
                <w:sz w:val="20"/>
                <w:szCs w:val="20"/>
              </w:rPr>
            </w:pPr>
            <w:r w:rsidRPr="00D1606B">
              <w:rPr>
                <w:rFonts w:ascii="Times New Roman" w:hAnsi="Times New Roman" w:cs="Times New Roman"/>
                <w:b/>
                <w:sz w:val="20"/>
                <w:szCs w:val="20"/>
              </w:rPr>
              <w:t>Sidewalk Construction</w:t>
            </w:r>
          </w:p>
          <w:p w:rsidR="00D1606B" w:rsidRPr="00D1606B" w:rsidRDefault="00D1606B" w:rsidP="00D1606B">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The agency </w:t>
            </w:r>
            <w:r w:rsidRPr="00D1606B">
              <w:rPr>
                <w:rFonts w:ascii="Times New Roman" w:hAnsi="Times New Roman" w:cs="Times New Roman"/>
                <w:sz w:val="20"/>
                <w:szCs w:val="20"/>
              </w:rPr>
              <w:t xml:space="preserve">constructed a sidewalk at the rear of the Electoral Tribunals Building with </w:t>
            </w:r>
            <w:r>
              <w:rPr>
                <w:rFonts w:ascii="Times New Roman" w:hAnsi="Times New Roman" w:cs="Times New Roman"/>
                <w:sz w:val="20"/>
                <w:szCs w:val="20"/>
              </w:rPr>
              <w:t>access r</w:t>
            </w:r>
            <w:r w:rsidRPr="00D1606B">
              <w:rPr>
                <w:rFonts w:ascii="Times New Roman" w:hAnsi="Times New Roman" w:cs="Times New Roman"/>
                <w:sz w:val="20"/>
                <w:szCs w:val="20"/>
              </w:rPr>
              <w:t>amp fr</w:t>
            </w:r>
            <w:r>
              <w:rPr>
                <w:rFonts w:ascii="Times New Roman" w:hAnsi="Times New Roman" w:cs="Times New Roman"/>
                <w:sz w:val="20"/>
                <w:szCs w:val="20"/>
              </w:rPr>
              <w:t>om the road and connecting r</w:t>
            </w:r>
            <w:r w:rsidRPr="00D1606B">
              <w:rPr>
                <w:rFonts w:ascii="Times New Roman" w:hAnsi="Times New Roman" w:cs="Times New Roman"/>
                <w:sz w:val="20"/>
                <w:szCs w:val="20"/>
              </w:rPr>
              <w:t>amp to the PWD ramp at the building’s entrance</w:t>
            </w:r>
            <w:r>
              <w:rPr>
                <w:rFonts w:ascii="Times New Roman" w:hAnsi="Times New Roman" w:cs="Times New Roman"/>
                <w:sz w:val="20"/>
                <w:szCs w:val="20"/>
              </w:rPr>
              <w:t>.</w:t>
            </w:r>
          </w:p>
        </w:tc>
        <w:tc>
          <w:tcPr>
            <w:tcW w:w="2160" w:type="dxa"/>
            <w:tcBorders>
              <w:bottom w:val="single" w:sz="4" w:space="0" w:color="auto"/>
            </w:tcBorders>
          </w:tcPr>
          <w:p w:rsidR="00820F5B" w:rsidRPr="00D1606B" w:rsidRDefault="00486CCB" w:rsidP="00486CCB">
            <w:pPr>
              <w:spacing w:after="0" w:line="240" w:lineRule="auto"/>
              <w:contextualSpacing/>
              <w:jc w:val="center"/>
              <w:rPr>
                <w:rFonts w:ascii="Times New Roman" w:hAnsi="Times New Roman"/>
                <w:sz w:val="20"/>
                <w:szCs w:val="20"/>
              </w:rPr>
            </w:pPr>
            <w:r>
              <w:rPr>
                <w:rFonts w:ascii="Times New Roman" w:hAnsi="Times New Roman"/>
                <w:sz w:val="20"/>
                <w:szCs w:val="20"/>
              </w:rPr>
              <w:t xml:space="preserve">    </w:t>
            </w:r>
            <w:r w:rsidR="00D1606B" w:rsidRPr="00D1606B">
              <w:rPr>
                <w:rFonts w:ascii="Times New Roman" w:hAnsi="Times New Roman"/>
                <w:sz w:val="20"/>
                <w:szCs w:val="20"/>
              </w:rPr>
              <w:t>69,814.71</w:t>
            </w:r>
          </w:p>
        </w:tc>
      </w:tr>
      <w:tr w:rsidR="00820F5B" w:rsidTr="00CE2DEF">
        <w:tc>
          <w:tcPr>
            <w:tcW w:w="5490" w:type="dxa"/>
            <w:tcBorders>
              <w:top w:val="single" w:sz="4" w:space="0" w:color="auto"/>
              <w:bottom w:val="double" w:sz="4" w:space="0" w:color="auto"/>
            </w:tcBorders>
          </w:tcPr>
          <w:p w:rsidR="00820F5B" w:rsidRPr="00486CCB" w:rsidRDefault="00486CCB" w:rsidP="00D1606B">
            <w:pPr>
              <w:spacing w:after="0" w:line="240" w:lineRule="auto"/>
              <w:contextualSpacing/>
              <w:jc w:val="both"/>
              <w:rPr>
                <w:rFonts w:ascii="Times New Roman" w:hAnsi="Times New Roman"/>
                <w:b/>
                <w:sz w:val="20"/>
                <w:szCs w:val="20"/>
              </w:rPr>
            </w:pPr>
            <w:r w:rsidRPr="00486CCB">
              <w:rPr>
                <w:rFonts w:ascii="Times New Roman" w:hAnsi="Times New Roman"/>
                <w:b/>
                <w:sz w:val="20"/>
                <w:szCs w:val="20"/>
              </w:rPr>
              <w:t>Total</w:t>
            </w:r>
          </w:p>
        </w:tc>
        <w:tc>
          <w:tcPr>
            <w:tcW w:w="2160" w:type="dxa"/>
            <w:tcBorders>
              <w:top w:val="single" w:sz="4" w:space="0" w:color="auto"/>
              <w:bottom w:val="double" w:sz="4" w:space="0" w:color="auto"/>
            </w:tcBorders>
          </w:tcPr>
          <w:p w:rsidR="00820F5B" w:rsidRPr="00486CCB" w:rsidRDefault="00486CCB" w:rsidP="00486CCB">
            <w:pPr>
              <w:spacing w:after="0" w:line="240" w:lineRule="auto"/>
              <w:contextualSpacing/>
              <w:jc w:val="center"/>
              <w:rPr>
                <w:rFonts w:ascii="Times New Roman" w:hAnsi="Times New Roman"/>
                <w:b/>
                <w:sz w:val="20"/>
                <w:szCs w:val="20"/>
              </w:rPr>
            </w:pPr>
            <w:r w:rsidRPr="00486CCB">
              <w:rPr>
                <w:rFonts w:ascii="Times New Roman" w:eastAsia="Times New Roman" w:hAnsi="Times New Roman"/>
                <w:b/>
                <w:dstrike/>
                <w:sz w:val="20"/>
                <w:szCs w:val="20"/>
              </w:rPr>
              <w:t>P</w:t>
            </w:r>
            <w:r w:rsidR="00D1606B" w:rsidRPr="00486CCB">
              <w:rPr>
                <w:rFonts w:ascii="Times New Roman" w:hAnsi="Times New Roman"/>
                <w:b/>
                <w:sz w:val="20"/>
                <w:szCs w:val="20"/>
              </w:rPr>
              <w:t>109,634.99</w:t>
            </w:r>
          </w:p>
        </w:tc>
      </w:tr>
    </w:tbl>
    <w:p w:rsidR="00FF0EEB" w:rsidRPr="00FF0EEB" w:rsidRDefault="00FF0EEB" w:rsidP="00D1606B">
      <w:pPr>
        <w:spacing w:after="0" w:line="240" w:lineRule="auto"/>
        <w:contextualSpacing/>
        <w:jc w:val="both"/>
        <w:rPr>
          <w:rFonts w:ascii="Times New Roman" w:hAnsi="Times New Roman"/>
          <w:sz w:val="24"/>
          <w:szCs w:val="24"/>
        </w:rPr>
      </w:pPr>
    </w:p>
    <w:p w:rsidR="006F03A2" w:rsidRPr="00352593" w:rsidRDefault="00E42A28" w:rsidP="00352593">
      <w:pPr>
        <w:spacing w:after="0" w:line="240" w:lineRule="auto"/>
        <w:ind w:left="990" w:hanging="540"/>
        <w:contextualSpacing/>
        <w:jc w:val="both"/>
        <w:rPr>
          <w:rFonts w:ascii="Times New Roman" w:hAnsi="Times New Roman" w:cs="Times New Roman"/>
          <w:sz w:val="24"/>
          <w:szCs w:val="24"/>
        </w:rPr>
      </w:pPr>
      <w:r>
        <w:rPr>
          <w:rFonts w:ascii="Times New Roman" w:hAnsi="Times New Roman"/>
          <w:b/>
          <w:sz w:val="24"/>
          <w:szCs w:val="24"/>
        </w:rPr>
        <w:t>5.3</w:t>
      </w:r>
      <w:r>
        <w:rPr>
          <w:rFonts w:ascii="Times New Roman" w:hAnsi="Times New Roman"/>
          <w:b/>
          <w:sz w:val="24"/>
          <w:szCs w:val="24"/>
        </w:rPr>
        <w:tab/>
      </w:r>
      <w:r w:rsidR="00492403" w:rsidRPr="00352593">
        <w:rPr>
          <w:rFonts w:ascii="Times New Roman" w:hAnsi="Times New Roman"/>
          <w:b/>
          <w:sz w:val="24"/>
          <w:szCs w:val="24"/>
        </w:rPr>
        <w:t>W</w:t>
      </w:r>
      <w:r w:rsidR="00BF4AAE" w:rsidRPr="00352593">
        <w:rPr>
          <w:rFonts w:ascii="Times New Roman" w:hAnsi="Times New Roman"/>
          <w:b/>
          <w:sz w:val="24"/>
          <w:szCs w:val="24"/>
        </w:rPr>
        <w:t xml:space="preserve">e </w:t>
      </w:r>
      <w:r w:rsidR="003B0383" w:rsidRPr="00352593">
        <w:rPr>
          <w:rFonts w:ascii="Times New Roman" w:hAnsi="Times New Roman"/>
          <w:b/>
          <w:sz w:val="24"/>
          <w:szCs w:val="24"/>
        </w:rPr>
        <w:t>noted Management’s effort</w:t>
      </w:r>
      <w:r w:rsidR="0019384F" w:rsidRPr="00352593">
        <w:rPr>
          <w:rFonts w:ascii="Times New Roman" w:hAnsi="Times New Roman"/>
          <w:b/>
          <w:sz w:val="24"/>
          <w:szCs w:val="24"/>
        </w:rPr>
        <w:t xml:space="preserve"> in complying </w:t>
      </w:r>
      <w:r w:rsidR="003B0383" w:rsidRPr="00352593">
        <w:rPr>
          <w:rFonts w:ascii="Times New Roman" w:hAnsi="Times New Roman"/>
          <w:b/>
          <w:sz w:val="24"/>
          <w:szCs w:val="24"/>
        </w:rPr>
        <w:t>with</w:t>
      </w:r>
      <w:r w:rsidR="0019384F" w:rsidRPr="00352593">
        <w:rPr>
          <w:rFonts w:ascii="Times New Roman" w:hAnsi="Times New Roman"/>
          <w:b/>
          <w:sz w:val="24"/>
          <w:szCs w:val="24"/>
        </w:rPr>
        <w:t xml:space="preserve"> the requirement of the law and recommended continuous </w:t>
      </w:r>
      <w:r w:rsidR="00486CCB" w:rsidRPr="00352593">
        <w:rPr>
          <w:rFonts w:ascii="Times New Roman" w:hAnsi="Times New Roman"/>
          <w:b/>
          <w:sz w:val="24"/>
          <w:szCs w:val="24"/>
        </w:rPr>
        <w:t xml:space="preserve">integration in their regular activities the plans, programs and projects to address the concerns of senior citizens and </w:t>
      </w:r>
      <w:r w:rsidR="00813098">
        <w:rPr>
          <w:rFonts w:ascii="Times New Roman" w:hAnsi="Times New Roman"/>
          <w:b/>
          <w:sz w:val="24"/>
          <w:szCs w:val="24"/>
        </w:rPr>
        <w:t>persons with disability</w:t>
      </w:r>
      <w:r w:rsidR="00486CCB" w:rsidRPr="00352593">
        <w:rPr>
          <w:rFonts w:ascii="Times New Roman" w:hAnsi="Times New Roman"/>
          <w:b/>
          <w:sz w:val="24"/>
          <w:szCs w:val="24"/>
        </w:rPr>
        <w:t>, insofar as it relates to the agency’s mandated functions as required by law to enhance their mobility, safety and welfare.</w:t>
      </w:r>
    </w:p>
    <w:p w:rsidR="00486CCB" w:rsidRDefault="00486CCB" w:rsidP="00B21032">
      <w:pPr>
        <w:spacing w:after="0" w:line="240" w:lineRule="auto"/>
        <w:contextualSpacing/>
        <w:jc w:val="both"/>
        <w:rPr>
          <w:rFonts w:ascii="Times New Roman" w:hAnsi="Times New Roman" w:cs="Times New Roman"/>
          <w:sz w:val="24"/>
          <w:szCs w:val="24"/>
        </w:rPr>
      </w:pPr>
    </w:p>
    <w:p w:rsidR="00486CCB" w:rsidRPr="006C6B08" w:rsidRDefault="00486CCB" w:rsidP="00B21032">
      <w:pPr>
        <w:spacing w:after="0" w:line="240" w:lineRule="auto"/>
        <w:contextualSpacing/>
        <w:jc w:val="both"/>
        <w:rPr>
          <w:rFonts w:ascii="Times New Roman" w:hAnsi="Times New Roman" w:cs="Times New Roman"/>
          <w:sz w:val="24"/>
          <w:szCs w:val="24"/>
        </w:rPr>
      </w:pPr>
    </w:p>
    <w:p w:rsidR="00926330" w:rsidRPr="00072C10" w:rsidRDefault="00926330" w:rsidP="00C35929">
      <w:pPr>
        <w:pStyle w:val="ListParagraph"/>
        <w:numPr>
          <w:ilvl w:val="0"/>
          <w:numId w:val="2"/>
        </w:numPr>
        <w:spacing w:after="0" w:line="240" w:lineRule="auto"/>
        <w:ind w:left="450" w:hanging="547"/>
        <w:contextualSpacing/>
        <w:jc w:val="both"/>
        <w:rPr>
          <w:rFonts w:ascii="Times New Roman" w:hAnsi="Times New Roman" w:cs="Times New Roman"/>
          <w:b/>
          <w:bCs/>
          <w:sz w:val="24"/>
          <w:szCs w:val="24"/>
        </w:rPr>
      </w:pPr>
      <w:r w:rsidRPr="00072C10">
        <w:rPr>
          <w:rFonts w:ascii="Times New Roman" w:hAnsi="Times New Roman" w:cs="Times New Roman"/>
          <w:b/>
          <w:bCs/>
          <w:sz w:val="24"/>
          <w:szCs w:val="24"/>
        </w:rPr>
        <w:t xml:space="preserve">Compliance with </w:t>
      </w:r>
      <w:r w:rsidR="00492403" w:rsidRPr="00072C10">
        <w:rPr>
          <w:rFonts w:ascii="Times New Roman" w:hAnsi="Times New Roman" w:cs="Times New Roman"/>
          <w:b/>
          <w:bCs/>
          <w:sz w:val="24"/>
          <w:szCs w:val="24"/>
        </w:rPr>
        <w:t>T</w:t>
      </w:r>
      <w:r w:rsidRPr="00072C10">
        <w:rPr>
          <w:rFonts w:ascii="Times New Roman" w:hAnsi="Times New Roman" w:cs="Times New Roman"/>
          <w:b/>
          <w:bCs/>
          <w:sz w:val="24"/>
          <w:szCs w:val="24"/>
        </w:rPr>
        <w:t xml:space="preserve">ax </w:t>
      </w:r>
      <w:r w:rsidR="00492403" w:rsidRPr="00072C10">
        <w:rPr>
          <w:rFonts w:ascii="Times New Roman" w:hAnsi="Times New Roman" w:cs="Times New Roman"/>
          <w:b/>
          <w:bCs/>
          <w:sz w:val="24"/>
          <w:szCs w:val="24"/>
        </w:rPr>
        <w:t>L</w:t>
      </w:r>
      <w:r w:rsidRPr="00072C10">
        <w:rPr>
          <w:rFonts w:ascii="Times New Roman" w:hAnsi="Times New Roman" w:cs="Times New Roman"/>
          <w:b/>
          <w:bCs/>
          <w:sz w:val="24"/>
          <w:szCs w:val="24"/>
        </w:rPr>
        <w:t>aws</w:t>
      </w:r>
      <w:r w:rsidR="00492403" w:rsidRPr="00072C10">
        <w:rPr>
          <w:rFonts w:ascii="Times New Roman" w:hAnsi="Times New Roman" w:cs="Times New Roman"/>
          <w:b/>
          <w:bCs/>
          <w:sz w:val="24"/>
          <w:szCs w:val="24"/>
        </w:rPr>
        <w:t xml:space="preserve"> and Regulations</w:t>
      </w:r>
    </w:p>
    <w:p w:rsidR="00C35929" w:rsidRPr="00874B4A" w:rsidRDefault="00C35929" w:rsidP="00C35929">
      <w:pPr>
        <w:pStyle w:val="ListParagraph"/>
        <w:spacing w:after="0" w:line="240" w:lineRule="auto"/>
        <w:ind w:left="450"/>
        <w:contextualSpacing/>
        <w:jc w:val="both"/>
        <w:rPr>
          <w:rFonts w:ascii="Times New Roman" w:hAnsi="Times New Roman" w:cs="Times New Roman"/>
          <w:b/>
          <w:bCs/>
          <w:sz w:val="24"/>
          <w:szCs w:val="24"/>
        </w:rPr>
      </w:pPr>
    </w:p>
    <w:p w:rsidR="000F54CC" w:rsidRDefault="005A1262" w:rsidP="00C35929">
      <w:pPr>
        <w:tabs>
          <w:tab w:val="left" w:pos="1080"/>
        </w:tabs>
        <w:spacing w:after="0" w:line="240" w:lineRule="auto"/>
        <w:ind w:left="990" w:hanging="547"/>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127AEE">
        <w:rPr>
          <w:rFonts w:ascii="Times New Roman" w:eastAsia="Times New Roman" w:hAnsi="Times New Roman"/>
          <w:sz w:val="24"/>
          <w:szCs w:val="24"/>
        </w:rPr>
        <w:t>.1.</w:t>
      </w:r>
      <w:r w:rsidR="00127AEE">
        <w:rPr>
          <w:rFonts w:ascii="Times New Roman" w:eastAsia="Times New Roman" w:hAnsi="Times New Roman"/>
          <w:sz w:val="24"/>
          <w:szCs w:val="24"/>
        </w:rPr>
        <w:tab/>
      </w:r>
      <w:r w:rsidR="00127AEE" w:rsidRPr="001F0FFF">
        <w:rPr>
          <w:rFonts w:ascii="Times New Roman" w:eastAsia="Times New Roman" w:hAnsi="Times New Roman"/>
          <w:sz w:val="24"/>
          <w:szCs w:val="24"/>
        </w:rPr>
        <w:t>Taxes withheld from 201</w:t>
      </w:r>
      <w:r w:rsidR="001A7210">
        <w:rPr>
          <w:rFonts w:ascii="Times New Roman" w:eastAsia="Times New Roman" w:hAnsi="Times New Roman"/>
          <w:sz w:val="24"/>
          <w:szCs w:val="24"/>
        </w:rPr>
        <w:t>6</w:t>
      </w:r>
      <w:r w:rsidR="00127AEE" w:rsidRPr="001F0FFF">
        <w:rPr>
          <w:rFonts w:ascii="Times New Roman" w:eastAsia="Times New Roman" w:hAnsi="Times New Roman"/>
          <w:sz w:val="24"/>
          <w:szCs w:val="24"/>
        </w:rPr>
        <w:t xml:space="preserve"> disbursements were remitted to the Bureau of Internal Revenue on or before due dates.  The breakdown of </w:t>
      </w:r>
      <w:r w:rsidR="007A0949">
        <w:rPr>
          <w:rFonts w:ascii="Times New Roman" w:eastAsia="Times New Roman" w:hAnsi="Times New Roman"/>
          <w:sz w:val="24"/>
          <w:szCs w:val="24"/>
        </w:rPr>
        <w:t xml:space="preserve">the </w:t>
      </w:r>
      <w:r w:rsidR="00127AEE" w:rsidRPr="001F0FFF">
        <w:rPr>
          <w:rFonts w:ascii="Times New Roman" w:eastAsia="Times New Roman" w:hAnsi="Times New Roman"/>
          <w:sz w:val="24"/>
          <w:szCs w:val="24"/>
        </w:rPr>
        <w:t xml:space="preserve">taxes remitted </w:t>
      </w:r>
      <w:r w:rsidR="007A0949">
        <w:rPr>
          <w:rFonts w:ascii="Times New Roman" w:eastAsia="Times New Roman" w:hAnsi="Times New Roman"/>
          <w:sz w:val="24"/>
          <w:szCs w:val="24"/>
        </w:rPr>
        <w:t xml:space="preserve">totaling </w:t>
      </w:r>
      <w:r w:rsidR="00A73571" w:rsidRPr="00072C10">
        <w:rPr>
          <w:rFonts w:ascii="Times New Roman" w:eastAsia="Times New Roman" w:hAnsi="Times New Roman"/>
          <w:dstrike/>
          <w:sz w:val="24"/>
          <w:szCs w:val="24"/>
        </w:rPr>
        <w:t>P</w:t>
      </w:r>
      <w:r w:rsidR="00072C10" w:rsidRPr="00072C10">
        <w:rPr>
          <w:rFonts w:ascii="Times New Roman" w:eastAsia="Times New Roman" w:hAnsi="Times New Roman"/>
          <w:sz w:val="24"/>
          <w:szCs w:val="24"/>
        </w:rPr>
        <w:t>25,168,935.30</w:t>
      </w:r>
      <w:r w:rsidR="00A73571">
        <w:rPr>
          <w:rFonts w:ascii="Times New Roman" w:eastAsia="Times New Roman" w:hAnsi="Times New Roman"/>
          <w:sz w:val="24"/>
          <w:szCs w:val="24"/>
        </w:rPr>
        <w:t xml:space="preserve"> </w:t>
      </w:r>
      <w:r w:rsidR="009873AD">
        <w:rPr>
          <w:rFonts w:ascii="Times New Roman" w:eastAsia="Times New Roman" w:hAnsi="Times New Roman"/>
          <w:sz w:val="24"/>
          <w:szCs w:val="24"/>
        </w:rPr>
        <w:t>are</w:t>
      </w:r>
      <w:r w:rsidR="00127AEE" w:rsidRPr="001F0FFF">
        <w:rPr>
          <w:rFonts w:ascii="Times New Roman" w:eastAsia="Times New Roman" w:hAnsi="Times New Roman"/>
          <w:sz w:val="24"/>
          <w:szCs w:val="24"/>
        </w:rPr>
        <w:t xml:space="preserve"> as follows:</w:t>
      </w:r>
    </w:p>
    <w:p w:rsidR="00871EB7" w:rsidRDefault="00871EB7" w:rsidP="00352593">
      <w:pPr>
        <w:tabs>
          <w:tab w:val="left" w:pos="1080"/>
        </w:tabs>
        <w:spacing w:after="0" w:line="240" w:lineRule="auto"/>
        <w:contextualSpacing/>
        <w:jc w:val="both"/>
        <w:rPr>
          <w:rFonts w:ascii="Times New Roman" w:eastAsia="Times New Roman" w:hAnsi="Times New Roman"/>
          <w:sz w:val="24"/>
          <w:szCs w:val="24"/>
        </w:rPr>
      </w:pPr>
    </w:p>
    <w:tbl>
      <w:tblPr>
        <w:tblStyle w:val="TableGrid"/>
        <w:tblW w:w="8275" w:type="dxa"/>
        <w:tblInd w:w="5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237"/>
        <w:gridCol w:w="1535"/>
        <w:gridCol w:w="1458"/>
        <w:gridCol w:w="1345"/>
        <w:gridCol w:w="1530"/>
      </w:tblGrid>
      <w:tr w:rsidR="007A0949" w:rsidRPr="005A550B" w:rsidTr="004110D9">
        <w:trPr>
          <w:tblHeader/>
        </w:trPr>
        <w:tc>
          <w:tcPr>
            <w:tcW w:w="1170" w:type="dxa"/>
            <w:vMerge w:val="restart"/>
            <w:tcBorders>
              <w:top w:val="single" w:sz="4" w:space="0" w:color="auto"/>
              <w:bottom w:val="nil"/>
            </w:tcBorders>
          </w:tcPr>
          <w:p w:rsidR="007A0949" w:rsidRPr="005A550B" w:rsidRDefault="007A0949" w:rsidP="00B21032">
            <w:pPr>
              <w:tabs>
                <w:tab w:val="left" w:pos="1080"/>
              </w:tabs>
              <w:spacing w:after="0" w:line="240" w:lineRule="auto"/>
              <w:contextualSpacing/>
              <w:jc w:val="both"/>
              <w:rPr>
                <w:rFonts w:ascii="Times New Roman" w:eastAsia="Times New Roman" w:hAnsi="Times New Roman"/>
                <w:sz w:val="20"/>
                <w:szCs w:val="20"/>
              </w:rPr>
            </w:pPr>
          </w:p>
          <w:p w:rsidR="007A0949" w:rsidRPr="005A550B" w:rsidRDefault="007A0949" w:rsidP="00B21032">
            <w:pPr>
              <w:tabs>
                <w:tab w:val="left" w:pos="1080"/>
              </w:tabs>
              <w:spacing w:after="0" w:line="240" w:lineRule="auto"/>
              <w:contextualSpacing/>
              <w:jc w:val="center"/>
              <w:rPr>
                <w:rFonts w:ascii="Times New Roman" w:eastAsia="Times New Roman" w:hAnsi="Times New Roman"/>
                <w:b/>
                <w:sz w:val="20"/>
                <w:szCs w:val="20"/>
              </w:rPr>
            </w:pPr>
            <w:r w:rsidRPr="005A550B">
              <w:rPr>
                <w:rFonts w:ascii="Times New Roman" w:eastAsia="Times New Roman" w:hAnsi="Times New Roman"/>
                <w:b/>
                <w:sz w:val="20"/>
                <w:szCs w:val="20"/>
              </w:rPr>
              <w:t>Month Deducted</w:t>
            </w:r>
          </w:p>
        </w:tc>
        <w:tc>
          <w:tcPr>
            <w:tcW w:w="1237" w:type="dxa"/>
            <w:vMerge w:val="restart"/>
            <w:tcBorders>
              <w:top w:val="single" w:sz="4" w:space="0" w:color="auto"/>
              <w:bottom w:val="nil"/>
            </w:tcBorders>
          </w:tcPr>
          <w:p w:rsidR="007A0949" w:rsidRPr="005A550B" w:rsidRDefault="007A0949" w:rsidP="00B21032">
            <w:pPr>
              <w:tabs>
                <w:tab w:val="left" w:pos="1080"/>
              </w:tabs>
              <w:spacing w:after="0" w:line="240" w:lineRule="auto"/>
              <w:contextualSpacing/>
              <w:jc w:val="center"/>
              <w:rPr>
                <w:rFonts w:ascii="Times New Roman" w:eastAsia="Times New Roman" w:hAnsi="Times New Roman"/>
                <w:b/>
                <w:sz w:val="20"/>
                <w:szCs w:val="20"/>
              </w:rPr>
            </w:pPr>
          </w:p>
          <w:p w:rsidR="007A0949" w:rsidRPr="005A550B" w:rsidRDefault="007A0949" w:rsidP="00B21032">
            <w:pPr>
              <w:tabs>
                <w:tab w:val="left" w:pos="1080"/>
              </w:tabs>
              <w:spacing w:after="0" w:line="240" w:lineRule="auto"/>
              <w:contextualSpacing/>
              <w:jc w:val="center"/>
              <w:rPr>
                <w:rFonts w:ascii="Times New Roman" w:eastAsia="Times New Roman" w:hAnsi="Times New Roman"/>
                <w:b/>
                <w:sz w:val="20"/>
                <w:szCs w:val="20"/>
              </w:rPr>
            </w:pPr>
            <w:r w:rsidRPr="005A550B">
              <w:rPr>
                <w:rFonts w:ascii="Times New Roman" w:eastAsia="Times New Roman" w:hAnsi="Times New Roman"/>
                <w:b/>
                <w:sz w:val="20"/>
                <w:szCs w:val="20"/>
              </w:rPr>
              <w:t>Date Remitted</w:t>
            </w:r>
          </w:p>
          <w:p w:rsidR="007A0949" w:rsidRPr="005A550B" w:rsidRDefault="007A0949" w:rsidP="00B21032">
            <w:pPr>
              <w:tabs>
                <w:tab w:val="left" w:pos="1080"/>
              </w:tabs>
              <w:spacing w:after="0" w:line="240" w:lineRule="auto"/>
              <w:contextualSpacing/>
              <w:jc w:val="center"/>
              <w:rPr>
                <w:rFonts w:ascii="Times New Roman" w:eastAsia="Times New Roman" w:hAnsi="Times New Roman"/>
                <w:b/>
                <w:sz w:val="20"/>
                <w:szCs w:val="20"/>
              </w:rPr>
            </w:pPr>
          </w:p>
        </w:tc>
        <w:tc>
          <w:tcPr>
            <w:tcW w:w="4338" w:type="dxa"/>
            <w:gridSpan w:val="3"/>
            <w:tcBorders>
              <w:top w:val="single" w:sz="4" w:space="0" w:color="auto"/>
              <w:bottom w:val="nil"/>
            </w:tcBorders>
          </w:tcPr>
          <w:p w:rsidR="007A0949" w:rsidRPr="005A550B" w:rsidRDefault="007A0949" w:rsidP="00B21032">
            <w:pPr>
              <w:tabs>
                <w:tab w:val="left" w:pos="1080"/>
              </w:tabs>
              <w:spacing w:after="0" w:line="240" w:lineRule="auto"/>
              <w:contextualSpacing/>
              <w:jc w:val="center"/>
              <w:rPr>
                <w:rFonts w:ascii="Times New Roman" w:eastAsia="Times New Roman" w:hAnsi="Times New Roman"/>
                <w:b/>
                <w:sz w:val="20"/>
                <w:szCs w:val="20"/>
              </w:rPr>
            </w:pPr>
            <w:r w:rsidRPr="005A550B">
              <w:rPr>
                <w:rFonts w:ascii="Times New Roman" w:eastAsia="Times New Roman" w:hAnsi="Times New Roman"/>
                <w:b/>
                <w:sz w:val="20"/>
                <w:szCs w:val="20"/>
              </w:rPr>
              <w:t>Taxes Withheld on</w:t>
            </w:r>
          </w:p>
        </w:tc>
        <w:tc>
          <w:tcPr>
            <w:tcW w:w="1530" w:type="dxa"/>
            <w:vMerge w:val="restart"/>
          </w:tcPr>
          <w:p w:rsidR="007A0949" w:rsidRPr="005A550B" w:rsidRDefault="007A0949" w:rsidP="00B21032">
            <w:pPr>
              <w:tabs>
                <w:tab w:val="left" w:pos="1080"/>
              </w:tabs>
              <w:spacing w:after="0" w:line="240" w:lineRule="auto"/>
              <w:contextualSpacing/>
              <w:rPr>
                <w:rFonts w:ascii="Times New Roman" w:eastAsia="Times New Roman" w:hAnsi="Times New Roman"/>
                <w:sz w:val="20"/>
                <w:szCs w:val="20"/>
              </w:rPr>
            </w:pPr>
          </w:p>
          <w:p w:rsidR="007A0949" w:rsidRPr="005A550B" w:rsidRDefault="007A0949" w:rsidP="00B21032">
            <w:pPr>
              <w:tabs>
                <w:tab w:val="left" w:pos="1080"/>
              </w:tabs>
              <w:spacing w:after="0" w:line="240" w:lineRule="auto"/>
              <w:contextualSpacing/>
              <w:rPr>
                <w:rFonts w:ascii="Times New Roman" w:eastAsia="Times New Roman" w:hAnsi="Times New Roman"/>
                <w:sz w:val="20"/>
                <w:szCs w:val="20"/>
              </w:rPr>
            </w:pPr>
          </w:p>
          <w:p w:rsidR="007A0949" w:rsidRPr="005A550B" w:rsidRDefault="007A0949" w:rsidP="00B21032">
            <w:pPr>
              <w:tabs>
                <w:tab w:val="left" w:pos="1080"/>
              </w:tabs>
              <w:spacing w:after="0" w:line="240" w:lineRule="auto"/>
              <w:contextualSpacing/>
              <w:jc w:val="center"/>
              <w:rPr>
                <w:rFonts w:ascii="Times New Roman" w:eastAsia="Times New Roman" w:hAnsi="Times New Roman"/>
                <w:b/>
                <w:sz w:val="20"/>
                <w:szCs w:val="20"/>
              </w:rPr>
            </w:pPr>
            <w:r w:rsidRPr="005A550B">
              <w:rPr>
                <w:rFonts w:ascii="Times New Roman" w:eastAsia="Times New Roman" w:hAnsi="Times New Roman"/>
                <w:b/>
                <w:sz w:val="20"/>
                <w:szCs w:val="20"/>
              </w:rPr>
              <w:t>Total</w:t>
            </w:r>
          </w:p>
        </w:tc>
      </w:tr>
      <w:tr w:rsidR="007A0949" w:rsidRPr="005A550B" w:rsidTr="004110D9">
        <w:trPr>
          <w:tblHeader/>
        </w:trPr>
        <w:tc>
          <w:tcPr>
            <w:tcW w:w="1170" w:type="dxa"/>
            <w:vMerge/>
            <w:tcBorders>
              <w:top w:val="nil"/>
              <w:bottom w:val="nil"/>
            </w:tcBorders>
          </w:tcPr>
          <w:p w:rsidR="007A0949" w:rsidRPr="005A550B" w:rsidRDefault="007A0949" w:rsidP="00B21032">
            <w:pPr>
              <w:tabs>
                <w:tab w:val="left" w:pos="1080"/>
              </w:tabs>
              <w:spacing w:after="0" w:line="240" w:lineRule="auto"/>
              <w:contextualSpacing/>
              <w:jc w:val="both"/>
              <w:rPr>
                <w:rFonts w:ascii="Times New Roman" w:eastAsia="Times New Roman" w:hAnsi="Times New Roman"/>
                <w:sz w:val="20"/>
                <w:szCs w:val="20"/>
              </w:rPr>
            </w:pPr>
          </w:p>
        </w:tc>
        <w:tc>
          <w:tcPr>
            <w:tcW w:w="1237" w:type="dxa"/>
            <w:vMerge/>
            <w:tcBorders>
              <w:top w:val="nil"/>
              <w:bottom w:val="nil"/>
            </w:tcBorders>
          </w:tcPr>
          <w:p w:rsidR="007A0949" w:rsidRPr="005A550B" w:rsidRDefault="007A0949" w:rsidP="00B21032">
            <w:pPr>
              <w:tabs>
                <w:tab w:val="left" w:pos="1080"/>
              </w:tabs>
              <w:spacing w:after="0" w:line="240" w:lineRule="auto"/>
              <w:contextualSpacing/>
              <w:jc w:val="both"/>
              <w:rPr>
                <w:rFonts w:ascii="Times New Roman" w:eastAsia="Times New Roman" w:hAnsi="Times New Roman"/>
                <w:sz w:val="20"/>
                <w:szCs w:val="20"/>
              </w:rPr>
            </w:pPr>
          </w:p>
        </w:tc>
        <w:tc>
          <w:tcPr>
            <w:tcW w:w="1535" w:type="dxa"/>
            <w:tcBorders>
              <w:top w:val="nil"/>
              <w:bottom w:val="nil"/>
            </w:tcBorders>
          </w:tcPr>
          <w:p w:rsidR="007A0949" w:rsidRPr="005A550B" w:rsidRDefault="007A0949" w:rsidP="00B21032">
            <w:pPr>
              <w:tabs>
                <w:tab w:val="left" w:pos="1080"/>
              </w:tabs>
              <w:spacing w:after="0" w:line="240" w:lineRule="auto"/>
              <w:contextualSpacing/>
              <w:jc w:val="center"/>
              <w:rPr>
                <w:rFonts w:ascii="Times New Roman" w:eastAsia="Times New Roman" w:hAnsi="Times New Roman"/>
                <w:b/>
                <w:sz w:val="20"/>
                <w:szCs w:val="20"/>
              </w:rPr>
            </w:pPr>
            <w:r w:rsidRPr="005A550B">
              <w:rPr>
                <w:rFonts w:ascii="Times New Roman" w:eastAsia="Times New Roman" w:hAnsi="Times New Roman"/>
                <w:b/>
                <w:sz w:val="20"/>
                <w:szCs w:val="20"/>
              </w:rPr>
              <w:t>Compensation</w:t>
            </w:r>
          </w:p>
        </w:tc>
        <w:tc>
          <w:tcPr>
            <w:tcW w:w="2803" w:type="dxa"/>
            <w:gridSpan w:val="2"/>
            <w:tcBorders>
              <w:top w:val="nil"/>
              <w:bottom w:val="nil"/>
            </w:tcBorders>
          </w:tcPr>
          <w:p w:rsidR="007A0949" w:rsidRPr="005A550B" w:rsidRDefault="007A0949" w:rsidP="00B21032">
            <w:pPr>
              <w:tabs>
                <w:tab w:val="left" w:pos="1080"/>
              </w:tabs>
              <w:spacing w:after="0" w:line="240" w:lineRule="auto"/>
              <w:contextualSpacing/>
              <w:jc w:val="center"/>
              <w:rPr>
                <w:rFonts w:ascii="Times New Roman" w:eastAsia="Times New Roman" w:hAnsi="Times New Roman"/>
                <w:b/>
                <w:sz w:val="20"/>
                <w:szCs w:val="20"/>
              </w:rPr>
            </w:pPr>
            <w:r w:rsidRPr="005A550B">
              <w:rPr>
                <w:rFonts w:ascii="Times New Roman" w:eastAsia="Times New Roman" w:hAnsi="Times New Roman"/>
                <w:b/>
                <w:sz w:val="20"/>
                <w:szCs w:val="20"/>
              </w:rPr>
              <w:t>Purchase of Goods and Services</w:t>
            </w:r>
          </w:p>
        </w:tc>
        <w:tc>
          <w:tcPr>
            <w:tcW w:w="1530" w:type="dxa"/>
            <w:vMerge/>
          </w:tcPr>
          <w:p w:rsidR="007A0949" w:rsidRPr="005A550B" w:rsidRDefault="007A0949" w:rsidP="00B21032">
            <w:pPr>
              <w:tabs>
                <w:tab w:val="left" w:pos="1080"/>
              </w:tabs>
              <w:spacing w:after="0" w:line="240" w:lineRule="auto"/>
              <w:contextualSpacing/>
              <w:rPr>
                <w:rFonts w:ascii="Times New Roman" w:eastAsia="Times New Roman" w:hAnsi="Times New Roman"/>
                <w:sz w:val="20"/>
                <w:szCs w:val="20"/>
              </w:rPr>
            </w:pPr>
          </w:p>
        </w:tc>
      </w:tr>
      <w:tr w:rsidR="007A0949" w:rsidRPr="005A550B" w:rsidTr="004110D9">
        <w:trPr>
          <w:tblHeader/>
        </w:trPr>
        <w:tc>
          <w:tcPr>
            <w:tcW w:w="1170" w:type="dxa"/>
            <w:vMerge/>
            <w:tcBorders>
              <w:top w:val="nil"/>
              <w:bottom w:val="single" w:sz="4" w:space="0" w:color="auto"/>
            </w:tcBorders>
          </w:tcPr>
          <w:p w:rsidR="007A0949" w:rsidRPr="005A550B" w:rsidRDefault="007A0949" w:rsidP="00B21032">
            <w:pPr>
              <w:tabs>
                <w:tab w:val="left" w:pos="1080"/>
              </w:tabs>
              <w:spacing w:after="0" w:line="240" w:lineRule="auto"/>
              <w:contextualSpacing/>
              <w:jc w:val="both"/>
              <w:rPr>
                <w:rFonts w:ascii="Times New Roman" w:eastAsia="Times New Roman" w:hAnsi="Times New Roman"/>
                <w:sz w:val="20"/>
                <w:szCs w:val="20"/>
              </w:rPr>
            </w:pPr>
          </w:p>
        </w:tc>
        <w:tc>
          <w:tcPr>
            <w:tcW w:w="1237" w:type="dxa"/>
            <w:vMerge/>
            <w:tcBorders>
              <w:top w:val="nil"/>
              <w:bottom w:val="single" w:sz="4" w:space="0" w:color="auto"/>
            </w:tcBorders>
          </w:tcPr>
          <w:p w:rsidR="007A0949" w:rsidRPr="005A550B" w:rsidRDefault="007A0949" w:rsidP="00B21032">
            <w:pPr>
              <w:tabs>
                <w:tab w:val="left" w:pos="1080"/>
              </w:tabs>
              <w:spacing w:after="0" w:line="240" w:lineRule="auto"/>
              <w:contextualSpacing/>
              <w:jc w:val="both"/>
              <w:rPr>
                <w:rFonts w:ascii="Times New Roman" w:eastAsia="Times New Roman" w:hAnsi="Times New Roman"/>
                <w:sz w:val="20"/>
                <w:szCs w:val="20"/>
              </w:rPr>
            </w:pPr>
          </w:p>
        </w:tc>
        <w:tc>
          <w:tcPr>
            <w:tcW w:w="1535" w:type="dxa"/>
            <w:tcBorders>
              <w:top w:val="nil"/>
              <w:bottom w:val="single" w:sz="4" w:space="0" w:color="auto"/>
            </w:tcBorders>
          </w:tcPr>
          <w:p w:rsidR="007A0949" w:rsidRPr="005A550B" w:rsidRDefault="007A0949" w:rsidP="00B21032">
            <w:pPr>
              <w:tabs>
                <w:tab w:val="left" w:pos="1080"/>
              </w:tabs>
              <w:spacing w:after="0" w:line="240" w:lineRule="auto"/>
              <w:contextualSpacing/>
              <w:jc w:val="right"/>
              <w:rPr>
                <w:rFonts w:ascii="Times New Roman" w:eastAsia="Times New Roman" w:hAnsi="Times New Roman"/>
                <w:sz w:val="20"/>
                <w:szCs w:val="20"/>
              </w:rPr>
            </w:pPr>
          </w:p>
        </w:tc>
        <w:tc>
          <w:tcPr>
            <w:tcW w:w="1458" w:type="dxa"/>
            <w:tcBorders>
              <w:top w:val="nil"/>
              <w:bottom w:val="single" w:sz="4" w:space="0" w:color="auto"/>
            </w:tcBorders>
          </w:tcPr>
          <w:p w:rsidR="007A0949" w:rsidRPr="005A550B" w:rsidRDefault="007A0949" w:rsidP="00B21032">
            <w:pPr>
              <w:tabs>
                <w:tab w:val="left" w:pos="1080"/>
              </w:tabs>
              <w:spacing w:after="0" w:line="240" w:lineRule="auto"/>
              <w:contextualSpacing/>
              <w:jc w:val="center"/>
              <w:rPr>
                <w:rFonts w:ascii="Times New Roman" w:eastAsia="Times New Roman" w:hAnsi="Times New Roman"/>
                <w:b/>
                <w:sz w:val="20"/>
                <w:szCs w:val="20"/>
              </w:rPr>
            </w:pPr>
            <w:r w:rsidRPr="005A550B">
              <w:rPr>
                <w:rFonts w:ascii="Times New Roman" w:eastAsia="Times New Roman" w:hAnsi="Times New Roman"/>
                <w:b/>
                <w:sz w:val="20"/>
                <w:szCs w:val="20"/>
              </w:rPr>
              <w:t>Expanded tax</w:t>
            </w:r>
          </w:p>
        </w:tc>
        <w:tc>
          <w:tcPr>
            <w:tcW w:w="1345" w:type="dxa"/>
            <w:tcBorders>
              <w:top w:val="nil"/>
              <w:bottom w:val="single" w:sz="4" w:space="0" w:color="auto"/>
            </w:tcBorders>
          </w:tcPr>
          <w:p w:rsidR="007A0949" w:rsidRPr="005A550B" w:rsidRDefault="007A0949" w:rsidP="00B21032">
            <w:pPr>
              <w:tabs>
                <w:tab w:val="left" w:pos="1080"/>
              </w:tabs>
              <w:spacing w:after="0" w:line="240" w:lineRule="auto"/>
              <w:contextualSpacing/>
              <w:jc w:val="center"/>
              <w:rPr>
                <w:rFonts w:ascii="Times New Roman" w:eastAsia="Times New Roman" w:hAnsi="Times New Roman"/>
                <w:b/>
                <w:sz w:val="20"/>
                <w:szCs w:val="20"/>
              </w:rPr>
            </w:pPr>
            <w:r w:rsidRPr="005A550B">
              <w:rPr>
                <w:rFonts w:ascii="Times New Roman" w:eastAsia="Times New Roman" w:hAnsi="Times New Roman"/>
                <w:b/>
                <w:sz w:val="20"/>
                <w:szCs w:val="20"/>
              </w:rPr>
              <w:t>Final tax</w:t>
            </w:r>
          </w:p>
        </w:tc>
        <w:tc>
          <w:tcPr>
            <w:tcW w:w="1530" w:type="dxa"/>
            <w:vMerge/>
            <w:tcBorders>
              <w:bottom w:val="single" w:sz="4" w:space="0" w:color="auto"/>
            </w:tcBorders>
          </w:tcPr>
          <w:p w:rsidR="007A0949" w:rsidRPr="005A550B" w:rsidRDefault="007A0949" w:rsidP="00B21032">
            <w:pPr>
              <w:tabs>
                <w:tab w:val="left" w:pos="1080"/>
              </w:tabs>
              <w:spacing w:after="0" w:line="240" w:lineRule="auto"/>
              <w:contextualSpacing/>
              <w:rPr>
                <w:rFonts w:ascii="Times New Roman" w:eastAsia="Times New Roman" w:hAnsi="Times New Roman"/>
                <w:sz w:val="20"/>
                <w:szCs w:val="20"/>
              </w:rPr>
            </w:pPr>
          </w:p>
        </w:tc>
      </w:tr>
      <w:tr w:rsidR="008C4CC9" w:rsidRPr="005A550B" w:rsidTr="004110D9">
        <w:tc>
          <w:tcPr>
            <w:tcW w:w="1170" w:type="dxa"/>
            <w:tcBorders>
              <w:top w:val="single" w:sz="4" w:space="0" w:color="auto"/>
            </w:tcBorders>
          </w:tcPr>
          <w:p w:rsidR="008C4CC9" w:rsidRPr="005A550B" w:rsidRDefault="008C4CC9" w:rsidP="00B21032">
            <w:pPr>
              <w:tabs>
                <w:tab w:val="left" w:pos="1080"/>
              </w:tabs>
              <w:spacing w:after="0" w:line="240" w:lineRule="auto"/>
              <w:contextualSpacing/>
              <w:jc w:val="both"/>
              <w:rPr>
                <w:rFonts w:ascii="Times New Roman" w:eastAsia="Times New Roman" w:hAnsi="Times New Roman"/>
                <w:sz w:val="20"/>
                <w:szCs w:val="20"/>
              </w:rPr>
            </w:pPr>
            <w:r w:rsidRPr="005A550B">
              <w:rPr>
                <w:rFonts w:ascii="Times New Roman" w:eastAsia="Times New Roman" w:hAnsi="Times New Roman"/>
                <w:sz w:val="20"/>
                <w:szCs w:val="20"/>
              </w:rPr>
              <w:t>January</w:t>
            </w:r>
          </w:p>
        </w:tc>
        <w:tc>
          <w:tcPr>
            <w:tcW w:w="1237" w:type="dxa"/>
            <w:tcBorders>
              <w:top w:val="single" w:sz="4" w:space="0" w:color="auto"/>
            </w:tcBorders>
          </w:tcPr>
          <w:p w:rsidR="008C4CC9" w:rsidRPr="005A550B" w:rsidRDefault="003F5F47" w:rsidP="00B21032">
            <w:pPr>
              <w:tabs>
                <w:tab w:val="left" w:pos="1080"/>
              </w:tabs>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2/10/2016</w:t>
            </w:r>
          </w:p>
        </w:tc>
        <w:tc>
          <w:tcPr>
            <w:tcW w:w="1535" w:type="dxa"/>
            <w:tcBorders>
              <w:top w:val="single" w:sz="4" w:space="0" w:color="auto"/>
            </w:tcBorders>
          </w:tcPr>
          <w:p w:rsidR="008C4CC9" w:rsidRPr="005A550B" w:rsidRDefault="005A550B" w:rsidP="00B21032">
            <w:pPr>
              <w:tabs>
                <w:tab w:val="left" w:pos="1080"/>
              </w:tabs>
              <w:spacing w:after="0" w:line="240" w:lineRule="auto"/>
              <w:contextualSpacing/>
              <w:jc w:val="right"/>
              <w:rPr>
                <w:rFonts w:ascii="Times New Roman" w:eastAsia="Times New Roman" w:hAnsi="Times New Roman"/>
                <w:sz w:val="20"/>
                <w:szCs w:val="20"/>
              </w:rPr>
            </w:pPr>
            <w:r w:rsidRPr="005A550B">
              <w:rPr>
                <w:rFonts w:ascii="Times New Roman" w:hAnsi="Times New Roman" w:cs="Times New Roman"/>
                <w:dstrike/>
                <w:sz w:val="20"/>
                <w:szCs w:val="20"/>
              </w:rPr>
              <w:t>P</w:t>
            </w:r>
            <w:r w:rsidRPr="005A550B">
              <w:rPr>
                <w:rFonts w:ascii="Times New Roman" w:eastAsia="Times New Roman" w:hAnsi="Times New Roman"/>
                <w:sz w:val="20"/>
                <w:szCs w:val="20"/>
              </w:rPr>
              <w:t xml:space="preserve">  </w:t>
            </w:r>
            <w:r w:rsidR="009656C4">
              <w:rPr>
                <w:rFonts w:ascii="Times New Roman" w:eastAsia="Times New Roman" w:hAnsi="Times New Roman"/>
                <w:sz w:val="20"/>
                <w:szCs w:val="20"/>
              </w:rPr>
              <w:t xml:space="preserve">  </w:t>
            </w:r>
            <w:r w:rsidRPr="005A550B">
              <w:rPr>
                <w:rFonts w:ascii="Times New Roman" w:eastAsia="Times New Roman" w:hAnsi="Times New Roman"/>
                <w:sz w:val="20"/>
                <w:szCs w:val="20"/>
              </w:rPr>
              <w:t xml:space="preserve"> </w:t>
            </w:r>
            <w:r w:rsidR="003F5F47" w:rsidRPr="003F5F47">
              <w:rPr>
                <w:rFonts w:ascii="Times New Roman" w:eastAsia="Times New Roman" w:hAnsi="Times New Roman"/>
                <w:sz w:val="20"/>
                <w:szCs w:val="20"/>
              </w:rPr>
              <w:t>631</w:t>
            </w:r>
            <w:r w:rsidR="003F5F47">
              <w:rPr>
                <w:rFonts w:ascii="Times New Roman" w:eastAsia="Times New Roman" w:hAnsi="Times New Roman"/>
                <w:sz w:val="20"/>
                <w:szCs w:val="20"/>
              </w:rPr>
              <w:t>,</w:t>
            </w:r>
            <w:r w:rsidR="003F5F47" w:rsidRPr="003F5F47">
              <w:rPr>
                <w:rFonts w:ascii="Times New Roman" w:eastAsia="Times New Roman" w:hAnsi="Times New Roman"/>
                <w:sz w:val="20"/>
                <w:szCs w:val="20"/>
              </w:rPr>
              <w:t>616.52</w:t>
            </w:r>
          </w:p>
        </w:tc>
        <w:tc>
          <w:tcPr>
            <w:tcW w:w="1458" w:type="dxa"/>
            <w:tcBorders>
              <w:top w:val="single" w:sz="4" w:space="0" w:color="auto"/>
            </w:tcBorders>
          </w:tcPr>
          <w:p w:rsidR="008C4CC9" w:rsidRPr="005A550B" w:rsidRDefault="005A550B" w:rsidP="00B21032">
            <w:pPr>
              <w:tabs>
                <w:tab w:val="left" w:pos="1080"/>
              </w:tabs>
              <w:spacing w:after="0" w:line="240" w:lineRule="auto"/>
              <w:contextualSpacing/>
              <w:jc w:val="right"/>
              <w:rPr>
                <w:rFonts w:ascii="Times New Roman" w:eastAsia="Times New Roman" w:hAnsi="Times New Roman"/>
                <w:sz w:val="20"/>
                <w:szCs w:val="20"/>
              </w:rPr>
            </w:pPr>
            <w:r w:rsidRPr="005A550B">
              <w:rPr>
                <w:rFonts w:ascii="Times New Roman" w:hAnsi="Times New Roman" w:cs="Times New Roman"/>
                <w:dstrike/>
                <w:sz w:val="20"/>
                <w:szCs w:val="20"/>
              </w:rPr>
              <w:t>P</w:t>
            </w:r>
            <w:r w:rsidRPr="005A550B">
              <w:rPr>
                <w:rFonts w:ascii="Times New Roman" w:eastAsia="Times New Roman" w:hAnsi="Times New Roman"/>
                <w:sz w:val="20"/>
                <w:szCs w:val="20"/>
              </w:rPr>
              <w:t xml:space="preserve"> </w:t>
            </w:r>
            <w:r w:rsidR="009656C4">
              <w:rPr>
                <w:rFonts w:ascii="Times New Roman" w:eastAsia="Times New Roman" w:hAnsi="Times New Roman"/>
                <w:sz w:val="20"/>
                <w:szCs w:val="20"/>
              </w:rPr>
              <w:t xml:space="preserve"> </w:t>
            </w:r>
            <w:r w:rsidRPr="005A550B">
              <w:rPr>
                <w:rFonts w:ascii="Times New Roman" w:eastAsia="Times New Roman" w:hAnsi="Times New Roman"/>
                <w:sz w:val="20"/>
                <w:szCs w:val="20"/>
              </w:rPr>
              <w:t xml:space="preserve"> </w:t>
            </w:r>
            <w:r w:rsidR="00AD7A04" w:rsidRPr="00AD7A04">
              <w:rPr>
                <w:rFonts w:ascii="Times New Roman" w:eastAsia="Times New Roman" w:hAnsi="Times New Roman"/>
                <w:sz w:val="20"/>
                <w:szCs w:val="20"/>
              </w:rPr>
              <w:t>55</w:t>
            </w:r>
            <w:r w:rsidR="00AD7A04">
              <w:rPr>
                <w:rFonts w:ascii="Times New Roman" w:eastAsia="Times New Roman" w:hAnsi="Times New Roman"/>
                <w:sz w:val="20"/>
                <w:szCs w:val="20"/>
              </w:rPr>
              <w:t>,</w:t>
            </w:r>
            <w:r w:rsidR="00AD7A04" w:rsidRPr="00AD7A04">
              <w:rPr>
                <w:rFonts w:ascii="Times New Roman" w:eastAsia="Times New Roman" w:hAnsi="Times New Roman"/>
                <w:sz w:val="20"/>
                <w:szCs w:val="20"/>
              </w:rPr>
              <w:t>745.28</w:t>
            </w:r>
          </w:p>
        </w:tc>
        <w:tc>
          <w:tcPr>
            <w:tcW w:w="1345" w:type="dxa"/>
            <w:tcBorders>
              <w:top w:val="single" w:sz="4" w:space="0" w:color="auto"/>
              <w:bottom w:val="nil"/>
            </w:tcBorders>
          </w:tcPr>
          <w:p w:rsidR="008C4CC9" w:rsidRPr="005A550B" w:rsidRDefault="005A550B" w:rsidP="00B21032">
            <w:pPr>
              <w:tabs>
                <w:tab w:val="left" w:pos="1080"/>
              </w:tabs>
              <w:spacing w:after="0" w:line="240" w:lineRule="auto"/>
              <w:contextualSpacing/>
              <w:jc w:val="right"/>
              <w:rPr>
                <w:rFonts w:ascii="Times New Roman" w:eastAsia="Times New Roman" w:hAnsi="Times New Roman"/>
                <w:sz w:val="20"/>
                <w:szCs w:val="20"/>
              </w:rPr>
            </w:pPr>
            <w:r w:rsidRPr="005A550B">
              <w:rPr>
                <w:rFonts w:ascii="Times New Roman" w:hAnsi="Times New Roman" w:cs="Times New Roman"/>
                <w:dstrike/>
                <w:sz w:val="20"/>
                <w:szCs w:val="20"/>
              </w:rPr>
              <w:t>P</w:t>
            </w:r>
            <w:r w:rsidRPr="005A550B">
              <w:rPr>
                <w:rFonts w:ascii="Times New Roman" w:eastAsia="Times New Roman" w:hAnsi="Times New Roman"/>
                <w:sz w:val="20"/>
                <w:szCs w:val="20"/>
              </w:rPr>
              <w:t xml:space="preserve">  </w:t>
            </w:r>
            <w:r w:rsidR="00072C10" w:rsidRPr="00072C10">
              <w:rPr>
                <w:rFonts w:ascii="Times New Roman" w:eastAsia="Times New Roman" w:hAnsi="Times New Roman"/>
                <w:sz w:val="20"/>
                <w:szCs w:val="20"/>
              </w:rPr>
              <w:t>52</w:t>
            </w:r>
            <w:r w:rsidR="00736447">
              <w:rPr>
                <w:rFonts w:ascii="Times New Roman" w:eastAsia="Times New Roman" w:hAnsi="Times New Roman"/>
                <w:sz w:val="20"/>
                <w:szCs w:val="20"/>
              </w:rPr>
              <w:t>,</w:t>
            </w:r>
            <w:r w:rsidR="00072C10" w:rsidRPr="00072C10">
              <w:rPr>
                <w:rFonts w:ascii="Times New Roman" w:eastAsia="Times New Roman" w:hAnsi="Times New Roman"/>
                <w:sz w:val="20"/>
                <w:szCs w:val="20"/>
              </w:rPr>
              <w:t>689.44</w:t>
            </w:r>
          </w:p>
        </w:tc>
        <w:tc>
          <w:tcPr>
            <w:tcW w:w="1530" w:type="dxa"/>
            <w:tcBorders>
              <w:top w:val="single" w:sz="4" w:space="0" w:color="auto"/>
              <w:bottom w:val="nil"/>
            </w:tcBorders>
          </w:tcPr>
          <w:p w:rsidR="008C4CC9" w:rsidRPr="005A550B" w:rsidRDefault="005A550B" w:rsidP="00B21032">
            <w:pPr>
              <w:tabs>
                <w:tab w:val="left" w:pos="1080"/>
              </w:tabs>
              <w:spacing w:after="0" w:line="240" w:lineRule="auto"/>
              <w:contextualSpacing/>
              <w:jc w:val="right"/>
              <w:rPr>
                <w:rFonts w:ascii="Times New Roman" w:eastAsia="Times New Roman" w:hAnsi="Times New Roman"/>
                <w:sz w:val="20"/>
                <w:szCs w:val="20"/>
              </w:rPr>
            </w:pPr>
            <w:r w:rsidRPr="005A550B">
              <w:rPr>
                <w:rFonts w:ascii="Times New Roman" w:hAnsi="Times New Roman" w:cs="Times New Roman"/>
                <w:dstrike/>
                <w:sz w:val="20"/>
                <w:szCs w:val="20"/>
              </w:rPr>
              <w:t>P</w:t>
            </w:r>
            <w:r w:rsidRPr="005A550B">
              <w:rPr>
                <w:rFonts w:ascii="Times New Roman" w:eastAsia="Times New Roman" w:hAnsi="Times New Roman"/>
                <w:sz w:val="20"/>
                <w:szCs w:val="20"/>
              </w:rPr>
              <w:t xml:space="preserve"> </w:t>
            </w:r>
            <w:r w:rsidR="009656C4">
              <w:rPr>
                <w:rFonts w:ascii="Times New Roman" w:eastAsia="Times New Roman" w:hAnsi="Times New Roman"/>
                <w:sz w:val="20"/>
                <w:szCs w:val="20"/>
              </w:rPr>
              <w:t xml:space="preserve"> </w:t>
            </w:r>
            <w:r w:rsidRPr="005A550B">
              <w:rPr>
                <w:rFonts w:ascii="Times New Roman" w:eastAsia="Times New Roman" w:hAnsi="Times New Roman"/>
                <w:sz w:val="20"/>
                <w:szCs w:val="20"/>
              </w:rPr>
              <w:t xml:space="preserve">   </w:t>
            </w:r>
            <w:r w:rsidR="00072C10" w:rsidRPr="00072C10">
              <w:rPr>
                <w:rFonts w:ascii="Times New Roman" w:eastAsia="Times New Roman" w:hAnsi="Times New Roman"/>
                <w:sz w:val="20"/>
                <w:szCs w:val="20"/>
              </w:rPr>
              <w:t>740</w:t>
            </w:r>
            <w:r w:rsidR="00072C10">
              <w:rPr>
                <w:rFonts w:ascii="Times New Roman" w:eastAsia="Times New Roman" w:hAnsi="Times New Roman"/>
                <w:sz w:val="20"/>
                <w:szCs w:val="20"/>
              </w:rPr>
              <w:t>,</w:t>
            </w:r>
            <w:r w:rsidR="00072C10" w:rsidRPr="00072C10">
              <w:rPr>
                <w:rFonts w:ascii="Times New Roman" w:eastAsia="Times New Roman" w:hAnsi="Times New Roman"/>
                <w:sz w:val="20"/>
                <w:szCs w:val="20"/>
              </w:rPr>
              <w:t>051.24</w:t>
            </w:r>
          </w:p>
        </w:tc>
      </w:tr>
      <w:tr w:rsidR="008C4CC9" w:rsidRPr="005A550B" w:rsidTr="004110D9">
        <w:tc>
          <w:tcPr>
            <w:tcW w:w="1170" w:type="dxa"/>
          </w:tcPr>
          <w:p w:rsidR="008C4CC9" w:rsidRPr="005A550B" w:rsidRDefault="00C3719C" w:rsidP="00B21032">
            <w:pPr>
              <w:tabs>
                <w:tab w:val="left" w:pos="1080"/>
              </w:tabs>
              <w:spacing w:after="0" w:line="240" w:lineRule="auto"/>
              <w:contextualSpacing/>
              <w:jc w:val="both"/>
              <w:rPr>
                <w:rFonts w:ascii="Times New Roman" w:eastAsia="Times New Roman" w:hAnsi="Times New Roman"/>
                <w:sz w:val="20"/>
                <w:szCs w:val="20"/>
              </w:rPr>
            </w:pPr>
            <w:r w:rsidRPr="005A550B">
              <w:rPr>
                <w:rFonts w:ascii="Times New Roman" w:eastAsia="Times New Roman" w:hAnsi="Times New Roman"/>
                <w:sz w:val="20"/>
                <w:szCs w:val="20"/>
              </w:rPr>
              <w:t>February</w:t>
            </w:r>
          </w:p>
        </w:tc>
        <w:tc>
          <w:tcPr>
            <w:tcW w:w="1237" w:type="dxa"/>
          </w:tcPr>
          <w:p w:rsidR="008C4CC9" w:rsidRPr="005A550B" w:rsidRDefault="003F5F47" w:rsidP="00B21032">
            <w:pPr>
              <w:tabs>
                <w:tab w:val="left" w:pos="1080"/>
              </w:tabs>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3/07/2016</w:t>
            </w:r>
          </w:p>
        </w:tc>
        <w:tc>
          <w:tcPr>
            <w:tcW w:w="1535" w:type="dxa"/>
          </w:tcPr>
          <w:p w:rsidR="008C4CC9" w:rsidRPr="005A550B" w:rsidRDefault="003F5F47" w:rsidP="00B21032">
            <w:pPr>
              <w:tabs>
                <w:tab w:val="left" w:pos="1080"/>
              </w:tabs>
              <w:spacing w:after="0" w:line="240" w:lineRule="auto"/>
              <w:contextualSpacing/>
              <w:jc w:val="right"/>
              <w:rPr>
                <w:rFonts w:ascii="Times New Roman" w:eastAsia="Times New Roman" w:hAnsi="Times New Roman"/>
                <w:sz w:val="20"/>
                <w:szCs w:val="20"/>
              </w:rPr>
            </w:pPr>
            <w:r w:rsidRPr="003F5F47">
              <w:rPr>
                <w:rFonts w:ascii="Times New Roman" w:eastAsia="Times New Roman" w:hAnsi="Times New Roman"/>
                <w:sz w:val="20"/>
                <w:szCs w:val="20"/>
              </w:rPr>
              <w:t>861</w:t>
            </w:r>
            <w:r>
              <w:rPr>
                <w:rFonts w:ascii="Times New Roman" w:eastAsia="Times New Roman" w:hAnsi="Times New Roman"/>
                <w:sz w:val="20"/>
                <w:szCs w:val="20"/>
              </w:rPr>
              <w:t>,</w:t>
            </w:r>
            <w:r w:rsidRPr="003F5F47">
              <w:rPr>
                <w:rFonts w:ascii="Times New Roman" w:eastAsia="Times New Roman" w:hAnsi="Times New Roman"/>
                <w:sz w:val="20"/>
                <w:szCs w:val="20"/>
              </w:rPr>
              <w:t>226.16</w:t>
            </w:r>
          </w:p>
        </w:tc>
        <w:tc>
          <w:tcPr>
            <w:tcW w:w="1458" w:type="dxa"/>
          </w:tcPr>
          <w:p w:rsidR="008C4CC9" w:rsidRPr="005A550B" w:rsidRDefault="00AD7A04" w:rsidP="00B21032">
            <w:pPr>
              <w:tabs>
                <w:tab w:val="left" w:pos="1080"/>
              </w:tabs>
              <w:spacing w:after="0" w:line="240" w:lineRule="auto"/>
              <w:contextualSpacing/>
              <w:jc w:val="right"/>
              <w:rPr>
                <w:rFonts w:ascii="Times New Roman" w:eastAsia="Times New Roman" w:hAnsi="Times New Roman"/>
                <w:sz w:val="20"/>
                <w:szCs w:val="20"/>
              </w:rPr>
            </w:pPr>
            <w:r w:rsidRPr="00AD7A04">
              <w:rPr>
                <w:rFonts w:ascii="Times New Roman" w:eastAsia="Times New Roman" w:hAnsi="Times New Roman"/>
                <w:sz w:val="20"/>
                <w:szCs w:val="20"/>
              </w:rPr>
              <w:t>38</w:t>
            </w:r>
            <w:r>
              <w:rPr>
                <w:rFonts w:ascii="Times New Roman" w:eastAsia="Times New Roman" w:hAnsi="Times New Roman"/>
                <w:sz w:val="20"/>
                <w:szCs w:val="20"/>
              </w:rPr>
              <w:t>,</w:t>
            </w:r>
            <w:r w:rsidRPr="00AD7A04">
              <w:rPr>
                <w:rFonts w:ascii="Times New Roman" w:eastAsia="Times New Roman" w:hAnsi="Times New Roman"/>
                <w:sz w:val="20"/>
                <w:szCs w:val="20"/>
              </w:rPr>
              <w:t>902.17</w:t>
            </w:r>
          </w:p>
        </w:tc>
        <w:tc>
          <w:tcPr>
            <w:tcW w:w="1345" w:type="dxa"/>
            <w:tcBorders>
              <w:top w:val="nil"/>
            </w:tcBorders>
          </w:tcPr>
          <w:p w:rsidR="008C4CC9"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11</w:t>
            </w:r>
            <w:r w:rsidR="00736447">
              <w:rPr>
                <w:rFonts w:ascii="Times New Roman" w:eastAsia="Times New Roman" w:hAnsi="Times New Roman"/>
                <w:sz w:val="20"/>
                <w:szCs w:val="20"/>
              </w:rPr>
              <w:t>,</w:t>
            </w:r>
            <w:r w:rsidRPr="00072C10">
              <w:rPr>
                <w:rFonts w:ascii="Times New Roman" w:eastAsia="Times New Roman" w:hAnsi="Times New Roman"/>
                <w:sz w:val="20"/>
                <w:szCs w:val="20"/>
              </w:rPr>
              <w:t>357.76</w:t>
            </w:r>
          </w:p>
        </w:tc>
        <w:tc>
          <w:tcPr>
            <w:tcW w:w="1530" w:type="dxa"/>
            <w:tcBorders>
              <w:top w:val="nil"/>
            </w:tcBorders>
          </w:tcPr>
          <w:p w:rsidR="008C4CC9"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911</w:t>
            </w:r>
            <w:r>
              <w:rPr>
                <w:rFonts w:ascii="Times New Roman" w:eastAsia="Times New Roman" w:hAnsi="Times New Roman"/>
                <w:sz w:val="20"/>
                <w:szCs w:val="20"/>
              </w:rPr>
              <w:t>,</w:t>
            </w:r>
            <w:r w:rsidRPr="00072C10">
              <w:rPr>
                <w:rFonts w:ascii="Times New Roman" w:eastAsia="Times New Roman" w:hAnsi="Times New Roman"/>
                <w:sz w:val="20"/>
                <w:szCs w:val="20"/>
              </w:rPr>
              <w:t>486.09</w:t>
            </w:r>
          </w:p>
        </w:tc>
      </w:tr>
      <w:tr w:rsidR="008C4CC9" w:rsidRPr="005A550B" w:rsidTr="004110D9">
        <w:tc>
          <w:tcPr>
            <w:tcW w:w="1170" w:type="dxa"/>
          </w:tcPr>
          <w:p w:rsidR="008C4CC9" w:rsidRPr="005A550B" w:rsidRDefault="00C3719C" w:rsidP="00B21032">
            <w:pPr>
              <w:tabs>
                <w:tab w:val="left" w:pos="1080"/>
              </w:tabs>
              <w:spacing w:after="0" w:line="240" w:lineRule="auto"/>
              <w:contextualSpacing/>
              <w:jc w:val="both"/>
              <w:rPr>
                <w:rFonts w:ascii="Times New Roman" w:eastAsia="Times New Roman" w:hAnsi="Times New Roman"/>
                <w:sz w:val="20"/>
                <w:szCs w:val="20"/>
              </w:rPr>
            </w:pPr>
            <w:r w:rsidRPr="005A550B">
              <w:rPr>
                <w:rFonts w:ascii="Times New Roman" w:eastAsia="Times New Roman" w:hAnsi="Times New Roman"/>
                <w:sz w:val="20"/>
                <w:szCs w:val="20"/>
              </w:rPr>
              <w:t>March</w:t>
            </w:r>
          </w:p>
        </w:tc>
        <w:tc>
          <w:tcPr>
            <w:tcW w:w="1237" w:type="dxa"/>
          </w:tcPr>
          <w:p w:rsidR="008C4CC9" w:rsidRPr="005A550B" w:rsidRDefault="003F5F47" w:rsidP="00B21032">
            <w:pPr>
              <w:tabs>
                <w:tab w:val="left" w:pos="1080"/>
              </w:tabs>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4/07/2016</w:t>
            </w:r>
          </w:p>
        </w:tc>
        <w:tc>
          <w:tcPr>
            <w:tcW w:w="1535" w:type="dxa"/>
          </w:tcPr>
          <w:p w:rsidR="008C4CC9" w:rsidRPr="005A550B" w:rsidRDefault="003F5F47" w:rsidP="00B21032">
            <w:pPr>
              <w:tabs>
                <w:tab w:val="left" w:pos="1080"/>
              </w:tabs>
              <w:spacing w:after="0" w:line="240" w:lineRule="auto"/>
              <w:contextualSpacing/>
              <w:jc w:val="right"/>
              <w:rPr>
                <w:rFonts w:ascii="Times New Roman" w:eastAsia="Times New Roman" w:hAnsi="Times New Roman"/>
                <w:sz w:val="20"/>
                <w:szCs w:val="20"/>
              </w:rPr>
            </w:pPr>
            <w:r w:rsidRPr="003F5F47">
              <w:rPr>
                <w:rFonts w:ascii="Times New Roman" w:eastAsia="Times New Roman" w:hAnsi="Times New Roman"/>
                <w:sz w:val="20"/>
                <w:szCs w:val="20"/>
              </w:rPr>
              <w:t>1</w:t>
            </w:r>
            <w:r>
              <w:rPr>
                <w:rFonts w:ascii="Times New Roman" w:eastAsia="Times New Roman" w:hAnsi="Times New Roman"/>
                <w:sz w:val="20"/>
                <w:szCs w:val="20"/>
              </w:rPr>
              <w:t>,</w:t>
            </w:r>
            <w:r w:rsidRPr="003F5F47">
              <w:rPr>
                <w:rFonts w:ascii="Times New Roman" w:eastAsia="Times New Roman" w:hAnsi="Times New Roman"/>
                <w:sz w:val="20"/>
                <w:szCs w:val="20"/>
              </w:rPr>
              <w:t>969</w:t>
            </w:r>
            <w:r>
              <w:rPr>
                <w:rFonts w:ascii="Times New Roman" w:eastAsia="Times New Roman" w:hAnsi="Times New Roman"/>
                <w:sz w:val="20"/>
                <w:szCs w:val="20"/>
              </w:rPr>
              <w:t>,</w:t>
            </w:r>
            <w:r w:rsidRPr="003F5F47">
              <w:rPr>
                <w:rFonts w:ascii="Times New Roman" w:eastAsia="Times New Roman" w:hAnsi="Times New Roman"/>
                <w:sz w:val="20"/>
                <w:szCs w:val="20"/>
              </w:rPr>
              <w:t>634.05</w:t>
            </w:r>
          </w:p>
        </w:tc>
        <w:tc>
          <w:tcPr>
            <w:tcW w:w="1458" w:type="dxa"/>
          </w:tcPr>
          <w:p w:rsidR="008C4CC9" w:rsidRPr="005A550B" w:rsidRDefault="00AD7A04" w:rsidP="00B21032">
            <w:pPr>
              <w:tabs>
                <w:tab w:val="left" w:pos="1080"/>
              </w:tabs>
              <w:spacing w:after="0" w:line="240" w:lineRule="auto"/>
              <w:contextualSpacing/>
              <w:jc w:val="right"/>
              <w:rPr>
                <w:rFonts w:ascii="Times New Roman" w:eastAsia="Times New Roman" w:hAnsi="Times New Roman"/>
                <w:sz w:val="20"/>
                <w:szCs w:val="20"/>
              </w:rPr>
            </w:pPr>
            <w:r w:rsidRPr="00AD7A04">
              <w:rPr>
                <w:rFonts w:ascii="Times New Roman" w:eastAsia="Times New Roman" w:hAnsi="Times New Roman"/>
                <w:sz w:val="20"/>
                <w:szCs w:val="20"/>
              </w:rPr>
              <w:t>90</w:t>
            </w:r>
            <w:r>
              <w:rPr>
                <w:rFonts w:ascii="Times New Roman" w:eastAsia="Times New Roman" w:hAnsi="Times New Roman"/>
                <w:sz w:val="20"/>
                <w:szCs w:val="20"/>
              </w:rPr>
              <w:t>,</w:t>
            </w:r>
            <w:r w:rsidRPr="00AD7A04">
              <w:rPr>
                <w:rFonts w:ascii="Times New Roman" w:eastAsia="Times New Roman" w:hAnsi="Times New Roman"/>
                <w:sz w:val="20"/>
                <w:szCs w:val="20"/>
              </w:rPr>
              <w:t>259.26</w:t>
            </w:r>
          </w:p>
        </w:tc>
        <w:tc>
          <w:tcPr>
            <w:tcW w:w="1345" w:type="dxa"/>
          </w:tcPr>
          <w:p w:rsidR="008C4CC9"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118</w:t>
            </w:r>
            <w:r w:rsidR="00736447">
              <w:rPr>
                <w:rFonts w:ascii="Times New Roman" w:eastAsia="Times New Roman" w:hAnsi="Times New Roman"/>
                <w:sz w:val="20"/>
                <w:szCs w:val="20"/>
              </w:rPr>
              <w:t>,</w:t>
            </w:r>
            <w:r w:rsidRPr="00072C10">
              <w:rPr>
                <w:rFonts w:ascii="Times New Roman" w:eastAsia="Times New Roman" w:hAnsi="Times New Roman"/>
                <w:sz w:val="20"/>
                <w:szCs w:val="20"/>
              </w:rPr>
              <w:t>654.38</w:t>
            </w:r>
          </w:p>
        </w:tc>
        <w:tc>
          <w:tcPr>
            <w:tcW w:w="1530" w:type="dxa"/>
          </w:tcPr>
          <w:p w:rsidR="008C4CC9"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2</w:t>
            </w:r>
            <w:r>
              <w:rPr>
                <w:rFonts w:ascii="Times New Roman" w:eastAsia="Times New Roman" w:hAnsi="Times New Roman"/>
                <w:sz w:val="20"/>
                <w:szCs w:val="20"/>
              </w:rPr>
              <w:t>,</w:t>
            </w:r>
            <w:r w:rsidRPr="00072C10">
              <w:rPr>
                <w:rFonts w:ascii="Times New Roman" w:eastAsia="Times New Roman" w:hAnsi="Times New Roman"/>
                <w:sz w:val="20"/>
                <w:szCs w:val="20"/>
              </w:rPr>
              <w:t>178</w:t>
            </w:r>
            <w:r>
              <w:rPr>
                <w:rFonts w:ascii="Times New Roman" w:eastAsia="Times New Roman" w:hAnsi="Times New Roman"/>
                <w:sz w:val="20"/>
                <w:szCs w:val="20"/>
              </w:rPr>
              <w:t>,</w:t>
            </w:r>
            <w:r w:rsidRPr="00072C10">
              <w:rPr>
                <w:rFonts w:ascii="Times New Roman" w:eastAsia="Times New Roman" w:hAnsi="Times New Roman"/>
                <w:sz w:val="20"/>
                <w:szCs w:val="20"/>
              </w:rPr>
              <w:t>547.69</w:t>
            </w:r>
          </w:p>
        </w:tc>
      </w:tr>
      <w:tr w:rsidR="008C4CC9" w:rsidRPr="005A550B" w:rsidTr="004110D9">
        <w:tc>
          <w:tcPr>
            <w:tcW w:w="1170" w:type="dxa"/>
          </w:tcPr>
          <w:p w:rsidR="008C4CC9" w:rsidRPr="005A550B" w:rsidRDefault="00C3719C" w:rsidP="00B21032">
            <w:pPr>
              <w:tabs>
                <w:tab w:val="left" w:pos="1080"/>
              </w:tabs>
              <w:spacing w:after="0" w:line="240" w:lineRule="auto"/>
              <w:contextualSpacing/>
              <w:jc w:val="both"/>
              <w:rPr>
                <w:rFonts w:ascii="Times New Roman" w:eastAsia="Times New Roman" w:hAnsi="Times New Roman"/>
                <w:sz w:val="20"/>
                <w:szCs w:val="20"/>
              </w:rPr>
            </w:pPr>
            <w:r w:rsidRPr="005A550B">
              <w:rPr>
                <w:rFonts w:ascii="Times New Roman" w:eastAsia="Times New Roman" w:hAnsi="Times New Roman"/>
                <w:sz w:val="20"/>
                <w:szCs w:val="20"/>
              </w:rPr>
              <w:lastRenderedPageBreak/>
              <w:t>April</w:t>
            </w:r>
          </w:p>
        </w:tc>
        <w:tc>
          <w:tcPr>
            <w:tcW w:w="1237" w:type="dxa"/>
          </w:tcPr>
          <w:p w:rsidR="008C4CC9" w:rsidRPr="005A550B" w:rsidRDefault="003F5F47" w:rsidP="00B21032">
            <w:pPr>
              <w:tabs>
                <w:tab w:val="left" w:pos="1080"/>
              </w:tabs>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5/10/2016</w:t>
            </w:r>
          </w:p>
        </w:tc>
        <w:tc>
          <w:tcPr>
            <w:tcW w:w="1535" w:type="dxa"/>
          </w:tcPr>
          <w:p w:rsidR="008C4CC9" w:rsidRPr="005A550B" w:rsidRDefault="003F5F47" w:rsidP="00B21032">
            <w:pPr>
              <w:tabs>
                <w:tab w:val="left" w:pos="1080"/>
              </w:tabs>
              <w:spacing w:after="0" w:line="240" w:lineRule="auto"/>
              <w:contextualSpacing/>
              <w:jc w:val="right"/>
              <w:rPr>
                <w:rFonts w:ascii="Times New Roman" w:eastAsia="Times New Roman" w:hAnsi="Times New Roman"/>
                <w:sz w:val="20"/>
                <w:szCs w:val="20"/>
              </w:rPr>
            </w:pPr>
            <w:r w:rsidRPr="003F5F47">
              <w:rPr>
                <w:rFonts w:ascii="Times New Roman" w:eastAsia="Times New Roman" w:hAnsi="Times New Roman"/>
                <w:sz w:val="20"/>
                <w:szCs w:val="20"/>
              </w:rPr>
              <w:t>2</w:t>
            </w:r>
            <w:r>
              <w:rPr>
                <w:rFonts w:ascii="Times New Roman" w:eastAsia="Times New Roman" w:hAnsi="Times New Roman"/>
                <w:sz w:val="20"/>
                <w:szCs w:val="20"/>
              </w:rPr>
              <w:t>,</w:t>
            </w:r>
            <w:r w:rsidRPr="003F5F47">
              <w:rPr>
                <w:rFonts w:ascii="Times New Roman" w:eastAsia="Times New Roman" w:hAnsi="Times New Roman"/>
                <w:sz w:val="20"/>
                <w:szCs w:val="20"/>
              </w:rPr>
              <w:t>830</w:t>
            </w:r>
            <w:r>
              <w:rPr>
                <w:rFonts w:ascii="Times New Roman" w:eastAsia="Times New Roman" w:hAnsi="Times New Roman"/>
                <w:sz w:val="20"/>
                <w:szCs w:val="20"/>
              </w:rPr>
              <w:t>,</w:t>
            </w:r>
            <w:r w:rsidRPr="003F5F47">
              <w:rPr>
                <w:rFonts w:ascii="Times New Roman" w:eastAsia="Times New Roman" w:hAnsi="Times New Roman"/>
                <w:sz w:val="20"/>
                <w:szCs w:val="20"/>
              </w:rPr>
              <w:t>760.65</w:t>
            </w:r>
          </w:p>
        </w:tc>
        <w:tc>
          <w:tcPr>
            <w:tcW w:w="1458" w:type="dxa"/>
          </w:tcPr>
          <w:p w:rsidR="00D73A17" w:rsidRPr="005A550B" w:rsidRDefault="00AD7A04" w:rsidP="00B21032">
            <w:pPr>
              <w:tabs>
                <w:tab w:val="left" w:pos="1080"/>
              </w:tabs>
              <w:spacing w:after="0" w:line="240" w:lineRule="auto"/>
              <w:contextualSpacing/>
              <w:jc w:val="right"/>
              <w:rPr>
                <w:rFonts w:ascii="Times New Roman" w:eastAsia="Times New Roman" w:hAnsi="Times New Roman"/>
                <w:sz w:val="20"/>
                <w:szCs w:val="20"/>
              </w:rPr>
            </w:pPr>
            <w:r w:rsidRPr="00AD7A04">
              <w:rPr>
                <w:rFonts w:ascii="Times New Roman" w:eastAsia="Times New Roman" w:hAnsi="Times New Roman"/>
                <w:sz w:val="20"/>
                <w:szCs w:val="20"/>
              </w:rPr>
              <w:t>94</w:t>
            </w:r>
            <w:r>
              <w:rPr>
                <w:rFonts w:ascii="Times New Roman" w:eastAsia="Times New Roman" w:hAnsi="Times New Roman"/>
                <w:sz w:val="20"/>
                <w:szCs w:val="20"/>
              </w:rPr>
              <w:t>,</w:t>
            </w:r>
            <w:r w:rsidRPr="00AD7A04">
              <w:rPr>
                <w:rFonts w:ascii="Times New Roman" w:eastAsia="Times New Roman" w:hAnsi="Times New Roman"/>
                <w:sz w:val="20"/>
                <w:szCs w:val="20"/>
              </w:rPr>
              <w:t>537.21</w:t>
            </w:r>
          </w:p>
        </w:tc>
        <w:tc>
          <w:tcPr>
            <w:tcW w:w="1345" w:type="dxa"/>
          </w:tcPr>
          <w:p w:rsidR="008C4CC9"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105</w:t>
            </w:r>
            <w:r w:rsidR="00736447">
              <w:rPr>
                <w:rFonts w:ascii="Times New Roman" w:eastAsia="Times New Roman" w:hAnsi="Times New Roman"/>
                <w:sz w:val="20"/>
                <w:szCs w:val="20"/>
              </w:rPr>
              <w:t>,</w:t>
            </w:r>
            <w:r w:rsidRPr="00072C10">
              <w:rPr>
                <w:rFonts w:ascii="Times New Roman" w:eastAsia="Times New Roman" w:hAnsi="Times New Roman"/>
                <w:sz w:val="20"/>
                <w:szCs w:val="20"/>
              </w:rPr>
              <w:t>620.84</w:t>
            </w:r>
          </w:p>
        </w:tc>
        <w:tc>
          <w:tcPr>
            <w:tcW w:w="1530" w:type="dxa"/>
          </w:tcPr>
          <w:p w:rsidR="008C4CC9"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3</w:t>
            </w:r>
            <w:r>
              <w:rPr>
                <w:rFonts w:ascii="Times New Roman" w:eastAsia="Times New Roman" w:hAnsi="Times New Roman"/>
                <w:sz w:val="20"/>
                <w:szCs w:val="20"/>
              </w:rPr>
              <w:t>,</w:t>
            </w:r>
            <w:r w:rsidRPr="00072C10">
              <w:rPr>
                <w:rFonts w:ascii="Times New Roman" w:eastAsia="Times New Roman" w:hAnsi="Times New Roman"/>
                <w:sz w:val="20"/>
                <w:szCs w:val="20"/>
              </w:rPr>
              <w:t>030</w:t>
            </w:r>
            <w:r>
              <w:rPr>
                <w:rFonts w:ascii="Times New Roman" w:eastAsia="Times New Roman" w:hAnsi="Times New Roman"/>
                <w:sz w:val="20"/>
                <w:szCs w:val="20"/>
              </w:rPr>
              <w:t>,</w:t>
            </w:r>
            <w:r w:rsidRPr="00072C10">
              <w:rPr>
                <w:rFonts w:ascii="Times New Roman" w:eastAsia="Times New Roman" w:hAnsi="Times New Roman"/>
                <w:sz w:val="20"/>
                <w:szCs w:val="20"/>
              </w:rPr>
              <w:t>918.7</w:t>
            </w:r>
            <w:r>
              <w:rPr>
                <w:rFonts w:ascii="Times New Roman" w:eastAsia="Times New Roman" w:hAnsi="Times New Roman"/>
                <w:sz w:val="20"/>
                <w:szCs w:val="20"/>
              </w:rPr>
              <w:t>0</w:t>
            </w:r>
          </w:p>
        </w:tc>
      </w:tr>
      <w:tr w:rsidR="008C4CC9" w:rsidRPr="005A550B" w:rsidTr="004110D9">
        <w:tc>
          <w:tcPr>
            <w:tcW w:w="1170" w:type="dxa"/>
          </w:tcPr>
          <w:p w:rsidR="008C4CC9" w:rsidRPr="005A550B" w:rsidRDefault="00C3719C" w:rsidP="00B21032">
            <w:pPr>
              <w:tabs>
                <w:tab w:val="left" w:pos="1080"/>
              </w:tabs>
              <w:spacing w:after="0" w:line="240" w:lineRule="auto"/>
              <w:contextualSpacing/>
              <w:jc w:val="both"/>
              <w:rPr>
                <w:rFonts w:ascii="Times New Roman" w:eastAsia="Times New Roman" w:hAnsi="Times New Roman"/>
                <w:sz w:val="20"/>
                <w:szCs w:val="20"/>
              </w:rPr>
            </w:pPr>
            <w:r w:rsidRPr="005A550B">
              <w:rPr>
                <w:rFonts w:ascii="Times New Roman" w:eastAsia="Times New Roman" w:hAnsi="Times New Roman"/>
                <w:sz w:val="20"/>
                <w:szCs w:val="20"/>
              </w:rPr>
              <w:t>May</w:t>
            </w:r>
          </w:p>
        </w:tc>
        <w:tc>
          <w:tcPr>
            <w:tcW w:w="1237" w:type="dxa"/>
          </w:tcPr>
          <w:p w:rsidR="008C4CC9" w:rsidRPr="005A550B" w:rsidRDefault="003F5F47" w:rsidP="00B21032">
            <w:pPr>
              <w:tabs>
                <w:tab w:val="left" w:pos="1080"/>
              </w:tabs>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6/06/2016</w:t>
            </w:r>
          </w:p>
        </w:tc>
        <w:tc>
          <w:tcPr>
            <w:tcW w:w="1535" w:type="dxa"/>
          </w:tcPr>
          <w:p w:rsidR="008C4CC9" w:rsidRPr="005A550B" w:rsidRDefault="003F5F47" w:rsidP="00B21032">
            <w:pPr>
              <w:tabs>
                <w:tab w:val="left" w:pos="1080"/>
              </w:tabs>
              <w:spacing w:after="0" w:line="240" w:lineRule="auto"/>
              <w:contextualSpacing/>
              <w:jc w:val="right"/>
              <w:rPr>
                <w:rFonts w:ascii="Times New Roman" w:eastAsia="Times New Roman" w:hAnsi="Times New Roman"/>
                <w:sz w:val="20"/>
                <w:szCs w:val="20"/>
              </w:rPr>
            </w:pPr>
            <w:r w:rsidRPr="003F5F47">
              <w:rPr>
                <w:rFonts w:ascii="Times New Roman" w:eastAsia="Times New Roman" w:hAnsi="Times New Roman"/>
                <w:sz w:val="20"/>
                <w:szCs w:val="20"/>
              </w:rPr>
              <w:t>3</w:t>
            </w:r>
            <w:r>
              <w:rPr>
                <w:rFonts w:ascii="Times New Roman" w:eastAsia="Times New Roman" w:hAnsi="Times New Roman"/>
                <w:sz w:val="20"/>
                <w:szCs w:val="20"/>
              </w:rPr>
              <w:t>,</w:t>
            </w:r>
            <w:r w:rsidRPr="003F5F47">
              <w:rPr>
                <w:rFonts w:ascii="Times New Roman" w:eastAsia="Times New Roman" w:hAnsi="Times New Roman"/>
                <w:sz w:val="20"/>
                <w:szCs w:val="20"/>
              </w:rPr>
              <w:t>447</w:t>
            </w:r>
            <w:r>
              <w:rPr>
                <w:rFonts w:ascii="Times New Roman" w:eastAsia="Times New Roman" w:hAnsi="Times New Roman"/>
                <w:sz w:val="20"/>
                <w:szCs w:val="20"/>
              </w:rPr>
              <w:t>,</w:t>
            </w:r>
            <w:r w:rsidRPr="003F5F47">
              <w:rPr>
                <w:rFonts w:ascii="Times New Roman" w:eastAsia="Times New Roman" w:hAnsi="Times New Roman"/>
                <w:sz w:val="20"/>
                <w:szCs w:val="20"/>
              </w:rPr>
              <w:t>743.35</w:t>
            </w:r>
          </w:p>
        </w:tc>
        <w:tc>
          <w:tcPr>
            <w:tcW w:w="1458" w:type="dxa"/>
          </w:tcPr>
          <w:p w:rsidR="008C4CC9" w:rsidRPr="005A550B" w:rsidRDefault="00AD7A04" w:rsidP="00B21032">
            <w:pPr>
              <w:tabs>
                <w:tab w:val="left" w:pos="1080"/>
              </w:tabs>
              <w:spacing w:after="0" w:line="240" w:lineRule="auto"/>
              <w:contextualSpacing/>
              <w:jc w:val="right"/>
              <w:rPr>
                <w:rFonts w:ascii="Times New Roman" w:eastAsia="Times New Roman" w:hAnsi="Times New Roman"/>
                <w:sz w:val="20"/>
                <w:szCs w:val="20"/>
              </w:rPr>
            </w:pPr>
            <w:r w:rsidRPr="00AD7A04">
              <w:rPr>
                <w:rFonts w:ascii="Times New Roman" w:eastAsia="Times New Roman" w:hAnsi="Times New Roman"/>
                <w:sz w:val="20"/>
                <w:szCs w:val="20"/>
              </w:rPr>
              <w:t>51</w:t>
            </w:r>
            <w:r>
              <w:rPr>
                <w:rFonts w:ascii="Times New Roman" w:eastAsia="Times New Roman" w:hAnsi="Times New Roman"/>
                <w:sz w:val="20"/>
                <w:szCs w:val="20"/>
              </w:rPr>
              <w:t>,</w:t>
            </w:r>
            <w:r w:rsidRPr="00AD7A04">
              <w:rPr>
                <w:rFonts w:ascii="Times New Roman" w:eastAsia="Times New Roman" w:hAnsi="Times New Roman"/>
                <w:sz w:val="20"/>
                <w:szCs w:val="20"/>
              </w:rPr>
              <w:t>120.54</w:t>
            </w:r>
          </w:p>
        </w:tc>
        <w:tc>
          <w:tcPr>
            <w:tcW w:w="1345" w:type="dxa"/>
          </w:tcPr>
          <w:p w:rsidR="008C4CC9"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18</w:t>
            </w:r>
            <w:r w:rsidR="00736447">
              <w:rPr>
                <w:rFonts w:ascii="Times New Roman" w:eastAsia="Times New Roman" w:hAnsi="Times New Roman"/>
                <w:sz w:val="20"/>
                <w:szCs w:val="20"/>
              </w:rPr>
              <w:t>,</w:t>
            </w:r>
            <w:r w:rsidRPr="00072C10">
              <w:rPr>
                <w:rFonts w:ascii="Times New Roman" w:eastAsia="Times New Roman" w:hAnsi="Times New Roman"/>
                <w:sz w:val="20"/>
                <w:szCs w:val="20"/>
              </w:rPr>
              <w:t>351.87</w:t>
            </w:r>
          </w:p>
        </w:tc>
        <w:tc>
          <w:tcPr>
            <w:tcW w:w="1530" w:type="dxa"/>
          </w:tcPr>
          <w:p w:rsidR="008C4CC9"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3</w:t>
            </w:r>
            <w:r>
              <w:rPr>
                <w:rFonts w:ascii="Times New Roman" w:eastAsia="Times New Roman" w:hAnsi="Times New Roman"/>
                <w:sz w:val="20"/>
                <w:szCs w:val="20"/>
              </w:rPr>
              <w:t>,</w:t>
            </w:r>
            <w:r w:rsidRPr="00072C10">
              <w:rPr>
                <w:rFonts w:ascii="Times New Roman" w:eastAsia="Times New Roman" w:hAnsi="Times New Roman"/>
                <w:sz w:val="20"/>
                <w:szCs w:val="20"/>
              </w:rPr>
              <w:t>517</w:t>
            </w:r>
            <w:r>
              <w:rPr>
                <w:rFonts w:ascii="Times New Roman" w:eastAsia="Times New Roman" w:hAnsi="Times New Roman"/>
                <w:sz w:val="20"/>
                <w:szCs w:val="20"/>
              </w:rPr>
              <w:t>,</w:t>
            </w:r>
            <w:r w:rsidRPr="00072C10">
              <w:rPr>
                <w:rFonts w:ascii="Times New Roman" w:eastAsia="Times New Roman" w:hAnsi="Times New Roman"/>
                <w:sz w:val="20"/>
                <w:szCs w:val="20"/>
              </w:rPr>
              <w:t>215.76</w:t>
            </w:r>
          </w:p>
        </w:tc>
      </w:tr>
      <w:tr w:rsidR="008C4CC9" w:rsidRPr="005A550B" w:rsidTr="004110D9">
        <w:tc>
          <w:tcPr>
            <w:tcW w:w="1170" w:type="dxa"/>
          </w:tcPr>
          <w:p w:rsidR="008C4CC9" w:rsidRPr="005A550B" w:rsidRDefault="00C3719C" w:rsidP="00B21032">
            <w:pPr>
              <w:tabs>
                <w:tab w:val="left" w:pos="1080"/>
              </w:tabs>
              <w:spacing w:after="0" w:line="240" w:lineRule="auto"/>
              <w:contextualSpacing/>
              <w:jc w:val="both"/>
              <w:rPr>
                <w:rFonts w:ascii="Times New Roman" w:eastAsia="Times New Roman" w:hAnsi="Times New Roman"/>
                <w:sz w:val="20"/>
                <w:szCs w:val="20"/>
              </w:rPr>
            </w:pPr>
            <w:r w:rsidRPr="005A550B">
              <w:rPr>
                <w:rFonts w:ascii="Times New Roman" w:eastAsia="Times New Roman" w:hAnsi="Times New Roman"/>
                <w:sz w:val="20"/>
                <w:szCs w:val="20"/>
              </w:rPr>
              <w:t>June</w:t>
            </w:r>
          </w:p>
        </w:tc>
        <w:tc>
          <w:tcPr>
            <w:tcW w:w="1237" w:type="dxa"/>
          </w:tcPr>
          <w:p w:rsidR="008C4CC9" w:rsidRPr="005A550B" w:rsidRDefault="003F5F47" w:rsidP="00B21032">
            <w:pPr>
              <w:tabs>
                <w:tab w:val="left" w:pos="1080"/>
              </w:tabs>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7/05/2016</w:t>
            </w:r>
          </w:p>
        </w:tc>
        <w:tc>
          <w:tcPr>
            <w:tcW w:w="1535" w:type="dxa"/>
          </w:tcPr>
          <w:p w:rsidR="008C4CC9" w:rsidRPr="005A550B" w:rsidRDefault="003F5F47" w:rsidP="00B21032">
            <w:pPr>
              <w:tabs>
                <w:tab w:val="left" w:pos="1080"/>
              </w:tabs>
              <w:spacing w:after="0" w:line="240" w:lineRule="auto"/>
              <w:contextualSpacing/>
              <w:jc w:val="right"/>
              <w:rPr>
                <w:rFonts w:ascii="Times New Roman" w:eastAsia="Times New Roman" w:hAnsi="Times New Roman"/>
                <w:sz w:val="20"/>
                <w:szCs w:val="20"/>
              </w:rPr>
            </w:pPr>
            <w:r w:rsidRPr="003F5F47">
              <w:rPr>
                <w:rFonts w:ascii="Times New Roman" w:eastAsia="Times New Roman" w:hAnsi="Times New Roman"/>
                <w:sz w:val="20"/>
                <w:szCs w:val="20"/>
              </w:rPr>
              <w:t>2</w:t>
            </w:r>
            <w:r>
              <w:rPr>
                <w:rFonts w:ascii="Times New Roman" w:eastAsia="Times New Roman" w:hAnsi="Times New Roman"/>
                <w:sz w:val="20"/>
                <w:szCs w:val="20"/>
              </w:rPr>
              <w:t>,</w:t>
            </w:r>
            <w:r w:rsidRPr="003F5F47">
              <w:rPr>
                <w:rFonts w:ascii="Times New Roman" w:eastAsia="Times New Roman" w:hAnsi="Times New Roman"/>
                <w:sz w:val="20"/>
                <w:szCs w:val="20"/>
              </w:rPr>
              <w:t>517</w:t>
            </w:r>
            <w:r>
              <w:rPr>
                <w:rFonts w:ascii="Times New Roman" w:eastAsia="Times New Roman" w:hAnsi="Times New Roman"/>
                <w:sz w:val="20"/>
                <w:szCs w:val="20"/>
              </w:rPr>
              <w:t>,</w:t>
            </w:r>
            <w:r w:rsidRPr="003F5F47">
              <w:rPr>
                <w:rFonts w:ascii="Times New Roman" w:eastAsia="Times New Roman" w:hAnsi="Times New Roman"/>
                <w:sz w:val="20"/>
                <w:szCs w:val="20"/>
              </w:rPr>
              <w:t>936.33</w:t>
            </w:r>
          </w:p>
        </w:tc>
        <w:tc>
          <w:tcPr>
            <w:tcW w:w="1458" w:type="dxa"/>
          </w:tcPr>
          <w:p w:rsidR="008C4CC9" w:rsidRPr="005A550B" w:rsidRDefault="00AD7A04" w:rsidP="00B21032">
            <w:pPr>
              <w:tabs>
                <w:tab w:val="left" w:pos="1080"/>
              </w:tabs>
              <w:spacing w:after="0" w:line="240" w:lineRule="auto"/>
              <w:contextualSpacing/>
              <w:jc w:val="right"/>
              <w:rPr>
                <w:rFonts w:ascii="Times New Roman" w:eastAsia="Times New Roman" w:hAnsi="Times New Roman"/>
                <w:sz w:val="20"/>
                <w:szCs w:val="20"/>
              </w:rPr>
            </w:pPr>
            <w:r w:rsidRPr="00AD7A04">
              <w:rPr>
                <w:rFonts w:ascii="Times New Roman" w:eastAsia="Times New Roman" w:hAnsi="Times New Roman"/>
                <w:sz w:val="20"/>
                <w:szCs w:val="20"/>
              </w:rPr>
              <w:t>61</w:t>
            </w:r>
            <w:r>
              <w:rPr>
                <w:rFonts w:ascii="Times New Roman" w:eastAsia="Times New Roman" w:hAnsi="Times New Roman"/>
                <w:sz w:val="20"/>
                <w:szCs w:val="20"/>
              </w:rPr>
              <w:t>,</w:t>
            </w:r>
            <w:r w:rsidRPr="00AD7A04">
              <w:rPr>
                <w:rFonts w:ascii="Times New Roman" w:eastAsia="Times New Roman" w:hAnsi="Times New Roman"/>
                <w:sz w:val="20"/>
                <w:szCs w:val="20"/>
              </w:rPr>
              <w:t>911.16</w:t>
            </w:r>
          </w:p>
        </w:tc>
        <w:tc>
          <w:tcPr>
            <w:tcW w:w="1345" w:type="dxa"/>
          </w:tcPr>
          <w:p w:rsidR="008C4CC9"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51</w:t>
            </w:r>
            <w:r w:rsidR="00736447">
              <w:rPr>
                <w:rFonts w:ascii="Times New Roman" w:eastAsia="Times New Roman" w:hAnsi="Times New Roman"/>
                <w:sz w:val="20"/>
                <w:szCs w:val="20"/>
              </w:rPr>
              <w:t>,</w:t>
            </w:r>
            <w:r w:rsidRPr="00072C10">
              <w:rPr>
                <w:rFonts w:ascii="Times New Roman" w:eastAsia="Times New Roman" w:hAnsi="Times New Roman"/>
                <w:sz w:val="20"/>
                <w:szCs w:val="20"/>
              </w:rPr>
              <w:t>536.61</w:t>
            </w:r>
          </w:p>
        </w:tc>
        <w:tc>
          <w:tcPr>
            <w:tcW w:w="1530" w:type="dxa"/>
          </w:tcPr>
          <w:p w:rsidR="008C4CC9"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2</w:t>
            </w:r>
            <w:r>
              <w:rPr>
                <w:rFonts w:ascii="Times New Roman" w:eastAsia="Times New Roman" w:hAnsi="Times New Roman"/>
                <w:sz w:val="20"/>
                <w:szCs w:val="20"/>
              </w:rPr>
              <w:t>,</w:t>
            </w:r>
            <w:r w:rsidRPr="00072C10">
              <w:rPr>
                <w:rFonts w:ascii="Times New Roman" w:eastAsia="Times New Roman" w:hAnsi="Times New Roman"/>
                <w:sz w:val="20"/>
                <w:szCs w:val="20"/>
              </w:rPr>
              <w:t>631</w:t>
            </w:r>
            <w:r>
              <w:rPr>
                <w:rFonts w:ascii="Times New Roman" w:eastAsia="Times New Roman" w:hAnsi="Times New Roman"/>
                <w:sz w:val="20"/>
                <w:szCs w:val="20"/>
              </w:rPr>
              <w:t>,</w:t>
            </w:r>
            <w:r w:rsidRPr="00072C10">
              <w:rPr>
                <w:rFonts w:ascii="Times New Roman" w:eastAsia="Times New Roman" w:hAnsi="Times New Roman"/>
                <w:sz w:val="20"/>
                <w:szCs w:val="20"/>
              </w:rPr>
              <w:t>384.1</w:t>
            </w:r>
            <w:r>
              <w:rPr>
                <w:rFonts w:ascii="Times New Roman" w:eastAsia="Times New Roman" w:hAnsi="Times New Roman"/>
                <w:sz w:val="20"/>
                <w:szCs w:val="20"/>
              </w:rPr>
              <w:t>0</w:t>
            </w:r>
          </w:p>
        </w:tc>
      </w:tr>
      <w:tr w:rsidR="00C3719C" w:rsidRPr="005A550B" w:rsidTr="004110D9">
        <w:tc>
          <w:tcPr>
            <w:tcW w:w="1170" w:type="dxa"/>
          </w:tcPr>
          <w:p w:rsidR="00C3719C" w:rsidRPr="005A550B" w:rsidRDefault="00C3719C" w:rsidP="00B21032">
            <w:pPr>
              <w:tabs>
                <w:tab w:val="left" w:pos="1080"/>
              </w:tabs>
              <w:spacing w:after="0" w:line="240" w:lineRule="auto"/>
              <w:contextualSpacing/>
              <w:jc w:val="both"/>
              <w:rPr>
                <w:rFonts w:ascii="Times New Roman" w:eastAsia="Times New Roman" w:hAnsi="Times New Roman"/>
                <w:sz w:val="20"/>
                <w:szCs w:val="20"/>
              </w:rPr>
            </w:pPr>
            <w:r w:rsidRPr="005A550B">
              <w:rPr>
                <w:rFonts w:ascii="Times New Roman" w:eastAsia="Times New Roman" w:hAnsi="Times New Roman"/>
                <w:sz w:val="20"/>
                <w:szCs w:val="20"/>
              </w:rPr>
              <w:t>July</w:t>
            </w:r>
          </w:p>
        </w:tc>
        <w:tc>
          <w:tcPr>
            <w:tcW w:w="1237" w:type="dxa"/>
          </w:tcPr>
          <w:p w:rsidR="00C3719C" w:rsidRPr="005A550B" w:rsidRDefault="003F5F47" w:rsidP="00B21032">
            <w:pPr>
              <w:tabs>
                <w:tab w:val="left" w:pos="1080"/>
              </w:tabs>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8/03/2016</w:t>
            </w:r>
          </w:p>
        </w:tc>
        <w:tc>
          <w:tcPr>
            <w:tcW w:w="1535" w:type="dxa"/>
          </w:tcPr>
          <w:p w:rsidR="00C3719C" w:rsidRPr="005A550B" w:rsidRDefault="003F5F47" w:rsidP="00B21032">
            <w:pPr>
              <w:tabs>
                <w:tab w:val="left" w:pos="1080"/>
              </w:tabs>
              <w:spacing w:after="0" w:line="240" w:lineRule="auto"/>
              <w:contextualSpacing/>
              <w:jc w:val="right"/>
              <w:rPr>
                <w:rFonts w:ascii="Times New Roman" w:eastAsia="Times New Roman" w:hAnsi="Times New Roman"/>
                <w:sz w:val="20"/>
                <w:szCs w:val="20"/>
              </w:rPr>
            </w:pPr>
            <w:r w:rsidRPr="003F5F47">
              <w:rPr>
                <w:rFonts w:ascii="Times New Roman" w:eastAsia="Times New Roman" w:hAnsi="Times New Roman"/>
                <w:sz w:val="20"/>
                <w:szCs w:val="20"/>
              </w:rPr>
              <w:t>722</w:t>
            </w:r>
            <w:r>
              <w:rPr>
                <w:rFonts w:ascii="Times New Roman" w:eastAsia="Times New Roman" w:hAnsi="Times New Roman"/>
                <w:sz w:val="20"/>
                <w:szCs w:val="20"/>
              </w:rPr>
              <w:t>,</w:t>
            </w:r>
            <w:r w:rsidRPr="003F5F47">
              <w:rPr>
                <w:rFonts w:ascii="Times New Roman" w:eastAsia="Times New Roman" w:hAnsi="Times New Roman"/>
                <w:sz w:val="20"/>
                <w:szCs w:val="20"/>
              </w:rPr>
              <w:t>497.46</w:t>
            </w:r>
          </w:p>
        </w:tc>
        <w:tc>
          <w:tcPr>
            <w:tcW w:w="1458" w:type="dxa"/>
          </w:tcPr>
          <w:p w:rsidR="00C3719C" w:rsidRPr="005A550B" w:rsidRDefault="00AD7A04" w:rsidP="00B21032">
            <w:pPr>
              <w:tabs>
                <w:tab w:val="left" w:pos="1080"/>
              </w:tabs>
              <w:spacing w:after="0" w:line="240" w:lineRule="auto"/>
              <w:contextualSpacing/>
              <w:jc w:val="right"/>
              <w:rPr>
                <w:rFonts w:ascii="Times New Roman" w:eastAsia="Times New Roman" w:hAnsi="Times New Roman"/>
                <w:sz w:val="20"/>
                <w:szCs w:val="20"/>
              </w:rPr>
            </w:pPr>
            <w:r w:rsidRPr="00AD7A04">
              <w:rPr>
                <w:rFonts w:ascii="Times New Roman" w:eastAsia="Times New Roman" w:hAnsi="Times New Roman"/>
                <w:sz w:val="20"/>
                <w:szCs w:val="20"/>
              </w:rPr>
              <w:t>45</w:t>
            </w:r>
            <w:r>
              <w:rPr>
                <w:rFonts w:ascii="Times New Roman" w:eastAsia="Times New Roman" w:hAnsi="Times New Roman"/>
                <w:sz w:val="20"/>
                <w:szCs w:val="20"/>
              </w:rPr>
              <w:t>,</w:t>
            </w:r>
            <w:r w:rsidRPr="00AD7A04">
              <w:rPr>
                <w:rFonts w:ascii="Times New Roman" w:eastAsia="Times New Roman" w:hAnsi="Times New Roman"/>
                <w:sz w:val="20"/>
                <w:szCs w:val="20"/>
              </w:rPr>
              <w:t>736.45</w:t>
            </w:r>
          </w:p>
        </w:tc>
        <w:tc>
          <w:tcPr>
            <w:tcW w:w="1345" w:type="dxa"/>
          </w:tcPr>
          <w:p w:rsidR="00C3719C"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26</w:t>
            </w:r>
            <w:r w:rsidR="00736447">
              <w:rPr>
                <w:rFonts w:ascii="Times New Roman" w:eastAsia="Times New Roman" w:hAnsi="Times New Roman"/>
                <w:sz w:val="20"/>
                <w:szCs w:val="20"/>
              </w:rPr>
              <w:t>,</w:t>
            </w:r>
            <w:r w:rsidRPr="00072C10">
              <w:rPr>
                <w:rFonts w:ascii="Times New Roman" w:eastAsia="Times New Roman" w:hAnsi="Times New Roman"/>
                <w:sz w:val="20"/>
                <w:szCs w:val="20"/>
              </w:rPr>
              <w:t>840.83</w:t>
            </w:r>
          </w:p>
        </w:tc>
        <w:tc>
          <w:tcPr>
            <w:tcW w:w="1530" w:type="dxa"/>
          </w:tcPr>
          <w:p w:rsidR="00C3719C"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795</w:t>
            </w:r>
            <w:r>
              <w:rPr>
                <w:rFonts w:ascii="Times New Roman" w:eastAsia="Times New Roman" w:hAnsi="Times New Roman"/>
                <w:sz w:val="20"/>
                <w:szCs w:val="20"/>
              </w:rPr>
              <w:t>,</w:t>
            </w:r>
            <w:r w:rsidRPr="00072C10">
              <w:rPr>
                <w:rFonts w:ascii="Times New Roman" w:eastAsia="Times New Roman" w:hAnsi="Times New Roman"/>
                <w:sz w:val="20"/>
                <w:szCs w:val="20"/>
              </w:rPr>
              <w:t>074.74</w:t>
            </w:r>
          </w:p>
        </w:tc>
      </w:tr>
      <w:tr w:rsidR="00C3719C" w:rsidRPr="005A550B" w:rsidTr="004110D9">
        <w:tc>
          <w:tcPr>
            <w:tcW w:w="1170" w:type="dxa"/>
          </w:tcPr>
          <w:p w:rsidR="00C3719C" w:rsidRPr="005A550B" w:rsidRDefault="00C3719C" w:rsidP="00B21032">
            <w:pPr>
              <w:tabs>
                <w:tab w:val="left" w:pos="1080"/>
              </w:tabs>
              <w:spacing w:after="0" w:line="240" w:lineRule="auto"/>
              <w:contextualSpacing/>
              <w:jc w:val="both"/>
              <w:rPr>
                <w:rFonts w:ascii="Times New Roman" w:eastAsia="Times New Roman" w:hAnsi="Times New Roman"/>
                <w:sz w:val="20"/>
                <w:szCs w:val="20"/>
              </w:rPr>
            </w:pPr>
            <w:r w:rsidRPr="005A550B">
              <w:rPr>
                <w:rFonts w:ascii="Times New Roman" w:eastAsia="Times New Roman" w:hAnsi="Times New Roman"/>
                <w:sz w:val="20"/>
                <w:szCs w:val="20"/>
              </w:rPr>
              <w:t>August</w:t>
            </w:r>
          </w:p>
        </w:tc>
        <w:tc>
          <w:tcPr>
            <w:tcW w:w="1237" w:type="dxa"/>
          </w:tcPr>
          <w:p w:rsidR="00C3719C" w:rsidRPr="005A550B" w:rsidRDefault="003F5F47" w:rsidP="00B21032">
            <w:pPr>
              <w:tabs>
                <w:tab w:val="left" w:pos="1080"/>
              </w:tabs>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9/07/2016</w:t>
            </w:r>
          </w:p>
        </w:tc>
        <w:tc>
          <w:tcPr>
            <w:tcW w:w="1535" w:type="dxa"/>
          </w:tcPr>
          <w:p w:rsidR="00C3719C" w:rsidRPr="005A550B" w:rsidRDefault="003F5F47" w:rsidP="00B21032">
            <w:pPr>
              <w:tabs>
                <w:tab w:val="left" w:pos="1080"/>
              </w:tabs>
              <w:spacing w:after="0" w:line="240" w:lineRule="auto"/>
              <w:contextualSpacing/>
              <w:jc w:val="right"/>
              <w:rPr>
                <w:rFonts w:ascii="Times New Roman" w:eastAsia="Times New Roman" w:hAnsi="Times New Roman"/>
                <w:sz w:val="20"/>
                <w:szCs w:val="20"/>
              </w:rPr>
            </w:pPr>
            <w:r w:rsidRPr="003F5F47">
              <w:rPr>
                <w:rFonts w:ascii="Times New Roman" w:eastAsia="Times New Roman" w:hAnsi="Times New Roman"/>
                <w:sz w:val="20"/>
                <w:szCs w:val="20"/>
              </w:rPr>
              <w:t>710</w:t>
            </w:r>
            <w:r>
              <w:rPr>
                <w:rFonts w:ascii="Times New Roman" w:eastAsia="Times New Roman" w:hAnsi="Times New Roman"/>
                <w:sz w:val="20"/>
                <w:szCs w:val="20"/>
              </w:rPr>
              <w:t>,</w:t>
            </w:r>
            <w:r w:rsidRPr="003F5F47">
              <w:rPr>
                <w:rFonts w:ascii="Times New Roman" w:eastAsia="Times New Roman" w:hAnsi="Times New Roman"/>
                <w:sz w:val="20"/>
                <w:szCs w:val="20"/>
              </w:rPr>
              <w:t>388.43</w:t>
            </w:r>
          </w:p>
        </w:tc>
        <w:tc>
          <w:tcPr>
            <w:tcW w:w="1458" w:type="dxa"/>
          </w:tcPr>
          <w:p w:rsidR="00C3719C" w:rsidRPr="005A550B" w:rsidRDefault="00AD7A04" w:rsidP="00B21032">
            <w:pPr>
              <w:tabs>
                <w:tab w:val="left" w:pos="1080"/>
              </w:tabs>
              <w:spacing w:after="0" w:line="240" w:lineRule="auto"/>
              <w:contextualSpacing/>
              <w:jc w:val="right"/>
              <w:rPr>
                <w:rFonts w:ascii="Times New Roman" w:eastAsia="Times New Roman" w:hAnsi="Times New Roman"/>
                <w:sz w:val="20"/>
                <w:szCs w:val="20"/>
              </w:rPr>
            </w:pPr>
            <w:r w:rsidRPr="00AD7A04">
              <w:rPr>
                <w:rFonts w:ascii="Times New Roman" w:eastAsia="Times New Roman" w:hAnsi="Times New Roman"/>
                <w:sz w:val="20"/>
                <w:szCs w:val="20"/>
              </w:rPr>
              <w:t>32</w:t>
            </w:r>
            <w:r>
              <w:rPr>
                <w:rFonts w:ascii="Times New Roman" w:eastAsia="Times New Roman" w:hAnsi="Times New Roman"/>
                <w:sz w:val="20"/>
                <w:szCs w:val="20"/>
              </w:rPr>
              <w:t>,</w:t>
            </w:r>
            <w:r w:rsidRPr="00AD7A04">
              <w:rPr>
                <w:rFonts w:ascii="Times New Roman" w:eastAsia="Times New Roman" w:hAnsi="Times New Roman"/>
                <w:sz w:val="20"/>
                <w:szCs w:val="20"/>
              </w:rPr>
              <w:t>323.41</w:t>
            </w:r>
          </w:p>
        </w:tc>
        <w:tc>
          <w:tcPr>
            <w:tcW w:w="1345" w:type="dxa"/>
          </w:tcPr>
          <w:p w:rsidR="00C3719C"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22</w:t>
            </w:r>
            <w:r w:rsidR="00736447">
              <w:rPr>
                <w:rFonts w:ascii="Times New Roman" w:eastAsia="Times New Roman" w:hAnsi="Times New Roman"/>
                <w:sz w:val="20"/>
                <w:szCs w:val="20"/>
              </w:rPr>
              <w:t>,</w:t>
            </w:r>
            <w:r w:rsidRPr="00072C10">
              <w:rPr>
                <w:rFonts w:ascii="Times New Roman" w:eastAsia="Times New Roman" w:hAnsi="Times New Roman"/>
                <w:sz w:val="20"/>
                <w:szCs w:val="20"/>
              </w:rPr>
              <w:t>246.26</w:t>
            </w:r>
          </w:p>
        </w:tc>
        <w:tc>
          <w:tcPr>
            <w:tcW w:w="1530" w:type="dxa"/>
          </w:tcPr>
          <w:p w:rsidR="00C3719C"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764</w:t>
            </w:r>
            <w:r>
              <w:rPr>
                <w:rFonts w:ascii="Times New Roman" w:eastAsia="Times New Roman" w:hAnsi="Times New Roman"/>
                <w:sz w:val="20"/>
                <w:szCs w:val="20"/>
              </w:rPr>
              <w:t>,</w:t>
            </w:r>
            <w:r w:rsidRPr="00072C10">
              <w:rPr>
                <w:rFonts w:ascii="Times New Roman" w:eastAsia="Times New Roman" w:hAnsi="Times New Roman"/>
                <w:sz w:val="20"/>
                <w:szCs w:val="20"/>
              </w:rPr>
              <w:t>958.1</w:t>
            </w:r>
            <w:r>
              <w:rPr>
                <w:rFonts w:ascii="Times New Roman" w:eastAsia="Times New Roman" w:hAnsi="Times New Roman"/>
                <w:sz w:val="20"/>
                <w:szCs w:val="20"/>
              </w:rPr>
              <w:t>0</w:t>
            </w:r>
          </w:p>
        </w:tc>
      </w:tr>
      <w:tr w:rsidR="00C3719C" w:rsidRPr="005A550B" w:rsidTr="004110D9">
        <w:tc>
          <w:tcPr>
            <w:tcW w:w="1170" w:type="dxa"/>
          </w:tcPr>
          <w:p w:rsidR="00C3719C" w:rsidRPr="005A550B" w:rsidRDefault="00C3719C" w:rsidP="00B21032">
            <w:pPr>
              <w:tabs>
                <w:tab w:val="left" w:pos="1080"/>
              </w:tabs>
              <w:spacing w:after="0" w:line="240" w:lineRule="auto"/>
              <w:contextualSpacing/>
              <w:jc w:val="both"/>
              <w:rPr>
                <w:rFonts w:ascii="Times New Roman" w:eastAsia="Times New Roman" w:hAnsi="Times New Roman"/>
                <w:sz w:val="20"/>
                <w:szCs w:val="20"/>
              </w:rPr>
            </w:pPr>
            <w:r w:rsidRPr="005A550B">
              <w:rPr>
                <w:rFonts w:ascii="Times New Roman" w:eastAsia="Times New Roman" w:hAnsi="Times New Roman"/>
                <w:sz w:val="20"/>
                <w:szCs w:val="20"/>
              </w:rPr>
              <w:t>September</w:t>
            </w:r>
          </w:p>
        </w:tc>
        <w:tc>
          <w:tcPr>
            <w:tcW w:w="1237" w:type="dxa"/>
          </w:tcPr>
          <w:p w:rsidR="00C3719C" w:rsidRPr="005A550B" w:rsidRDefault="003F5F47" w:rsidP="00B21032">
            <w:pPr>
              <w:tabs>
                <w:tab w:val="left" w:pos="1080"/>
              </w:tabs>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10/06/2016</w:t>
            </w:r>
          </w:p>
        </w:tc>
        <w:tc>
          <w:tcPr>
            <w:tcW w:w="1535" w:type="dxa"/>
          </w:tcPr>
          <w:p w:rsidR="00C3719C" w:rsidRPr="005A550B" w:rsidRDefault="003F5F47" w:rsidP="00B21032">
            <w:pPr>
              <w:tabs>
                <w:tab w:val="left" w:pos="1080"/>
              </w:tabs>
              <w:spacing w:after="0" w:line="240" w:lineRule="auto"/>
              <w:contextualSpacing/>
              <w:jc w:val="right"/>
              <w:rPr>
                <w:rFonts w:ascii="Times New Roman" w:eastAsia="Times New Roman" w:hAnsi="Times New Roman"/>
                <w:sz w:val="20"/>
                <w:szCs w:val="20"/>
              </w:rPr>
            </w:pPr>
            <w:r w:rsidRPr="003F5F47">
              <w:rPr>
                <w:rFonts w:ascii="Times New Roman" w:eastAsia="Times New Roman" w:hAnsi="Times New Roman"/>
                <w:sz w:val="20"/>
                <w:szCs w:val="20"/>
              </w:rPr>
              <w:t>1</w:t>
            </w:r>
            <w:r>
              <w:rPr>
                <w:rFonts w:ascii="Times New Roman" w:eastAsia="Times New Roman" w:hAnsi="Times New Roman"/>
                <w:sz w:val="20"/>
                <w:szCs w:val="20"/>
              </w:rPr>
              <w:t>,</w:t>
            </w:r>
            <w:r w:rsidRPr="003F5F47">
              <w:rPr>
                <w:rFonts w:ascii="Times New Roman" w:eastAsia="Times New Roman" w:hAnsi="Times New Roman"/>
                <w:sz w:val="20"/>
                <w:szCs w:val="20"/>
              </w:rPr>
              <w:t>830</w:t>
            </w:r>
            <w:r>
              <w:rPr>
                <w:rFonts w:ascii="Times New Roman" w:eastAsia="Times New Roman" w:hAnsi="Times New Roman"/>
                <w:sz w:val="20"/>
                <w:szCs w:val="20"/>
              </w:rPr>
              <w:t>,</w:t>
            </w:r>
            <w:r w:rsidRPr="003F5F47">
              <w:rPr>
                <w:rFonts w:ascii="Times New Roman" w:eastAsia="Times New Roman" w:hAnsi="Times New Roman"/>
                <w:sz w:val="20"/>
                <w:szCs w:val="20"/>
              </w:rPr>
              <w:t>360.87</w:t>
            </w:r>
          </w:p>
        </w:tc>
        <w:tc>
          <w:tcPr>
            <w:tcW w:w="1458" w:type="dxa"/>
          </w:tcPr>
          <w:p w:rsidR="00C3719C" w:rsidRPr="005A550B" w:rsidRDefault="00AD7A04" w:rsidP="00B21032">
            <w:pPr>
              <w:tabs>
                <w:tab w:val="left" w:pos="1080"/>
              </w:tabs>
              <w:spacing w:after="0" w:line="240" w:lineRule="auto"/>
              <w:contextualSpacing/>
              <w:jc w:val="right"/>
              <w:rPr>
                <w:rFonts w:ascii="Times New Roman" w:eastAsia="Times New Roman" w:hAnsi="Times New Roman"/>
                <w:sz w:val="20"/>
                <w:szCs w:val="20"/>
              </w:rPr>
            </w:pPr>
            <w:r w:rsidRPr="00AD7A04">
              <w:rPr>
                <w:rFonts w:ascii="Times New Roman" w:eastAsia="Times New Roman" w:hAnsi="Times New Roman"/>
                <w:sz w:val="20"/>
                <w:szCs w:val="20"/>
              </w:rPr>
              <w:t>68</w:t>
            </w:r>
            <w:r>
              <w:rPr>
                <w:rFonts w:ascii="Times New Roman" w:eastAsia="Times New Roman" w:hAnsi="Times New Roman"/>
                <w:sz w:val="20"/>
                <w:szCs w:val="20"/>
              </w:rPr>
              <w:t>,</w:t>
            </w:r>
            <w:r w:rsidRPr="00AD7A04">
              <w:rPr>
                <w:rFonts w:ascii="Times New Roman" w:eastAsia="Times New Roman" w:hAnsi="Times New Roman"/>
                <w:sz w:val="20"/>
                <w:szCs w:val="20"/>
              </w:rPr>
              <w:t>327.56</w:t>
            </w:r>
          </w:p>
        </w:tc>
        <w:tc>
          <w:tcPr>
            <w:tcW w:w="1345" w:type="dxa"/>
          </w:tcPr>
          <w:p w:rsidR="00C3719C"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22</w:t>
            </w:r>
            <w:r w:rsidR="00736447">
              <w:rPr>
                <w:rFonts w:ascii="Times New Roman" w:eastAsia="Times New Roman" w:hAnsi="Times New Roman"/>
                <w:sz w:val="20"/>
                <w:szCs w:val="20"/>
              </w:rPr>
              <w:t>,</w:t>
            </w:r>
            <w:r w:rsidRPr="00072C10">
              <w:rPr>
                <w:rFonts w:ascii="Times New Roman" w:eastAsia="Times New Roman" w:hAnsi="Times New Roman"/>
                <w:sz w:val="20"/>
                <w:szCs w:val="20"/>
              </w:rPr>
              <w:t>837.81</w:t>
            </w:r>
          </w:p>
        </w:tc>
        <w:tc>
          <w:tcPr>
            <w:tcW w:w="1530" w:type="dxa"/>
          </w:tcPr>
          <w:p w:rsidR="00C3719C"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1</w:t>
            </w:r>
            <w:r>
              <w:rPr>
                <w:rFonts w:ascii="Times New Roman" w:eastAsia="Times New Roman" w:hAnsi="Times New Roman"/>
                <w:sz w:val="20"/>
                <w:szCs w:val="20"/>
              </w:rPr>
              <w:t>,</w:t>
            </w:r>
            <w:r w:rsidRPr="00072C10">
              <w:rPr>
                <w:rFonts w:ascii="Times New Roman" w:eastAsia="Times New Roman" w:hAnsi="Times New Roman"/>
                <w:sz w:val="20"/>
                <w:szCs w:val="20"/>
              </w:rPr>
              <w:t>921</w:t>
            </w:r>
            <w:r>
              <w:rPr>
                <w:rFonts w:ascii="Times New Roman" w:eastAsia="Times New Roman" w:hAnsi="Times New Roman"/>
                <w:sz w:val="20"/>
                <w:szCs w:val="20"/>
              </w:rPr>
              <w:t>,</w:t>
            </w:r>
            <w:r w:rsidRPr="00072C10">
              <w:rPr>
                <w:rFonts w:ascii="Times New Roman" w:eastAsia="Times New Roman" w:hAnsi="Times New Roman"/>
                <w:sz w:val="20"/>
                <w:szCs w:val="20"/>
              </w:rPr>
              <w:t>526.24</w:t>
            </w:r>
          </w:p>
        </w:tc>
      </w:tr>
      <w:tr w:rsidR="00C3719C" w:rsidRPr="005A550B" w:rsidTr="004110D9">
        <w:tc>
          <w:tcPr>
            <w:tcW w:w="1170" w:type="dxa"/>
          </w:tcPr>
          <w:p w:rsidR="00C3719C" w:rsidRPr="005A550B" w:rsidRDefault="00C3719C" w:rsidP="00B21032">
            <w:pPr>
              <w:tabs>
                <w:tab w:val="left" w:pos="1080"/>
              </w:tabs>
              <w:spacing w:after="0" w:line="240" w:lineRule="auto"/>
              <w:contextualSpacing/>
              <w:jc w:val="both"/>
              <w:rPr>
                <w:rFonts w:ascii="Times New Roman" w:eastAsia="Times New Roman" w:hAnsi="Times New Roman"/>
                <w:sz w:val="20"/>
                <w:szCs w:val="20"/>
              </w:rPr>
            </w:pPr>
            <w:r w:rsidRPr="005A550B">
              <w:rPr>
                <w:rFonts w:ascii="Times New Roman" w:eastAsia="Times New Roman" w:hAnsi="Times New Roman"/>
                <w:sz w:val="20"/>
                <w:szCs w:val="20"/>
              </w:rPr>
              <w:t>October</w:t>
            </w:r>
          </w:p>
        </w:tc>
        <w:tc>
          <w:tcPr>
            <w:tcW w:w="1237" w:type="dxa"/>
          </w:tcPr>
          <w:p w:rsidR="00C3719C" w:rsidRPr="005A550B" w:rsidRDefault="003F5F47" w:rsidP="00B21032">
            <w:pPr>
              <w:tabs>
                <w:tab w:val="left" w:pos="1080"/>
              </w:tabs>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11/09/2016</w:t>
            </w:r>
          </w:p>
        </w:tc>
        <w:tc>
          <w:tcPr>
            <w:tcW w:w="1535" w:type="dxa"/>
          </w:tcPr>
          <w:p w:rsidR="00C3719C" w:rsidRPr="005A550B" w:rsidRDefault="003F5F47" w:rsidP="00B21032">
            <w:pPr>
              <w:tabs>
                <w:tab w:val="left" w:pos="1080"/>
              </w:tabs>
              <w:spacing w:after="0" w:line="240" w:lineRule="auto"/>
              <w:contextualSpacing/>
              <w:jc w:val="right"/>
              <w:rPr>
                <w:rFonts w:ascii="Times New Roman" w:eastAsia="Times New Roman" w:hAnsi="Times New Roman"/>
                <w:sz w:val="20"/>
                <w:szCs w:val="20"/>
              </w:rPr>
            </w:pPr>
            <w:r w:rsidRPr="003F5F47">
              <w:rPr>
                <w:rFonts w:ascii="Times New Roman" w:eastAsia="Times New Roman" w:hAnsi="Times New Roman"/>
                <w:sz w:val="20"/>
                <w:szCs w:val="20"/>
              </w:rPr>
              <w:t>1</w:t>
            </w:r>
            <w:r>
              <w:rPr>
                <w:rFonts w:ascii="Times New Roman" w:eastAsia="Times New Roman" w:hAnsi="Times New Roman"/>
                <w:sz w:val="20"/>
                <w:szCs w:val="20"/>
              </w:rPr>
              <w:t>,</w:t>
            </w:r>
            <w:r w:rsidRPr="003F5F47">
              <w:rPr>
                <w:rFonts w:ascii="Times New Roman" w:eastAsia="Times New Roman" w:hAnsi="Times New Roman"/>
                <w:sz w:val="20"/>
                <w:szCs w:val="20"/>
              </w:rPr>
              <w:t>917</w:t>
            </w:r>
            <w:r>
              <w:rPr>
                <w:rFonts w:ascii="Times New Roman" w:eastAsia="Times New Roman" w:hAnsi="Times New Roman"/>
                <w:sz w:val="20"/>
                <w:szCs w:val="20"/>
              </w:rPr>
              <w:t>,</w:t>
            </w:r>
            <w:r w:rsidRPr="003F5F47">
              <w:rPr>
                <w:rFonts w:ascii="Times New Roman" w:eastAsia="Times New Roman" w:hAnsi="Times New Roman"/>
                <w:sz w:val="20"/>
                <w:szCs w:val="20"/>
              </w:rPr>
              <w:t>426.62</w:t>
            </w:r>
          </w:p>
        </w:tc>
        <w:tc>
          <w:tcPr>
            <w:tcW w:w="1458" w:type="dxa"/>
          </w:tcPr>
          <w:p w:rsidR="00C3719C" w:rsidRPr="005A550B" w:rsidRDefault="00AD7A04" w:rsidP="00B21032">
            <w:pPr>
              <w:tabs>
                <w:tab w:val="left" w:pos="1080"/>
              </w:tabs>
              <w:spacing w:after="0" w:line="240" w:lineRule="auto"/>
              <w:contextualSpacing/>
              <w:jc w:val="right"/>
              <w:rPr>
                <w:rFonts w:ascii="Times New Roman" w:eastAsia="Times New Roman" w:hAnsi="Times New Roman"/>
                <w:sz w:val="20"/>
                <w:szCs w:val="20"/>
              </w:rPr>
            </w:pPr>
            <w:r w:rsidRPr="00AD7A04">
              <w:rPr>
                <w:rFonts w:ascii="Times New Roman" w:eastAsia="Times New Roman" w:hAnsi="Times New Roman"/>
                <w:sz w:val="20"/>
                <w:szCs w:val="20"/>
              </w:rPr>
              <w:t>54</w:t>
            </w:r>
            <w:r>
              <w:rPr>
                <w:rFonts w:ascii="Times New Roman" w:eastAsia="Times New Roman" w:hAnsi="Times New Roman"/>
                <w:sz w:val="20"/>
                <w:szCs w:val="20"/>
              </w:rPr>
              <w:t>,</w:t>
            </w:r>
            <w:r w:rsidRPr="00AD7A04">
              <w:rPr>
                <w:rFonts w:ascii="Times New Roman" w:eastAsia="Times New Roman" w:hAnsi="Times New Roman"/>
                <w:sz w:val="20"/>
                <w:szCs w:val="20"/>
              </w:rPr>
              <w:t>784.19</w:t>
            </w:r>
          </w:p>
        </w:tc>
        <w:tc>
          <w:tcPr>
            <w:tcW w:w="1345" w:type="dxa"/>
          </w:tcPr>
          <w:p w:rsidR="00C3719C"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43</w:t>
            </w:r>
            <w:r w:rsidR="00736447">
              <w:rPr>
                <w:rFonts w:ascii="Times New Roman" w:eastAsia="Times New Roman" w:hAnsi="Times New Roman"/>
                <w:sz w:val="20"/>
                <w:szCs w:val="20"/>
              </w:rPr>
              <w:t>,</w:t>
            </w:r>
            <w:r w:rsidRPr="00072C10">
              <w:rPr>
                <w:rFonts w:ascii="Times New Roman" w:eastAsia="Times New Roman" w:hAnsi="Times New Roman"/>
                <w:sz w:val="20"/>
                <w:szCs w:val="20"/>
              </w:rPr>
              <w:t>507.44</w:t>
            </w:r>
          </w:p>
        </w:tc>
        <w:tc>
          <w:tcPr>
            <w:tcW w:w="1530" w:type="dxa"/>
          </w:tcPr>
          <w:p w:rsidR="00C3719C"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2</w:t>
            </w:r>
            <w:r>
              <w:rPr>
                <w:rFonts w:ascii="Times New Roman" w:eastAsia="Times New Roman" w:hAnsi="Times New Roman"/>
                <w:sz w:val="20"/>
                <w:szCs w:val="20"/>
              </w:rPr>
              <w:t>,</w:t>
            </w:r>
            <w:r w:rsidRPr="00072C10">
              <w:rPr>
                <w:rFonts w:ascii="Times New Roman" w:eastAsia="Times New Roman" w:hAnsi="Times New Roman"/>
                <w:sz w:val="20"/>
                <w:szCs w:val="20"/>
              </w:rPr>
              <w:t>015</w:t>
            </w:r>
            <w:r>
              <w:rPr>
                <w:rFonts w:ascii="Times New Roman" w:eastAsia="Times New Roman" w:hAnsi="Times New Roman"/>
                <w:sz w:val="20"/>
                <w:szCs w:val="20"/>
              </w:rPr>
              <w:t>,</w:t>
            </w:r>
            <w:r w:rsidRPr="00072C10">
              <w:rPr>
                <w:rFonts w:ascii="Times New Roman" w:eastAsia="Times New Roman" w:hAnsi="Times New Roman"/>
                <w:sz w:val="20"/>
                <w:szCs w:val="20"/>
              </w:rPr>
              <w:t>718.25</w:t>
            </w:r>
          </w:p>
        </w:tc>
      </w:tr>
      <w:tr w:rsidR="00C3719C" w:rsidRPr="005A550B" w:rsidTr="004110D9">
        <w:tc>
          <w:tcPr>
            <w:tcW w:w="1170" w:type="dxa"/>
            <w:tcBorders>
              <w:bottom w:val="nil"/>
            </w:tcBorders>
          </w:tcPr>
          <w:p w:rsidR="00C3719C" w:rsidRPr="005A550B" w:rsidRDefault="00C3719C" w:rsidP="00B21032">
            <w:pPr>
              <w:tabs>
                <w:tab w:val="left" w:pos="1080"/>
              </w:tabs>
              <w:spacing w:after="0" w:line="240" w:lineRule="auto"/>
              <w:contextualSpacing/>
              <w:jc w:val="both"/>
              <w:rPr>
                <w:rFonts w:ascii="Times New Roman" w:eastAsia="Times New Roman" w:hAnsi="Times New Roman"/>
                <w:sz w:val="20"/>
                <w:szCs w:val="20"/>
              </w:rPr>
            </w:pPr>
            <w:r w:rsidRPr="005A550B">
              <w:rPr>
                <w:rFonts w:ascii="Times New Roman" w:eastAsia="Times New Roman" w:hAnsi="Times New Roman"/>
                <w:sz w:val="20"/>
                <w:szCs w:val="20"/>
              </w:rPr>
              <w:t>November</w:t>
            </w:r>
          </w:p>
        </w:tc>
        <w:tc>
          <w:tcPr>
            <w:tcW w:w="1237" w:type="dxa"/>
            <w:tcBorders>
              <w:bottom w:val="nil"/>
            </w:tcBorders>
          </w:tcPr>
          <w:p w:rsidR="00C3719C" w:rsidRPr="005A550B" w:rsidRDefault="003F5F47" w:rsidP="00B21032">
            <w:pPr>
              <w:tabs>
                <w:tab w:val="left" w:pos="1080"/>
              </w:tabs>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12/08/2016</w:t>
            </w:r>
          </w:p>
        </w:tc>
        <w:tc>
          <w:tcPr>
            <w:tcW w:w="1535" w:type="dxa"/>
            <w:tcBorders>
              <w:bottom w:val="nil"/>
            </w:tcBorders>
          </w:tcPr>
          <w:p w:rsidR="00C3719C" w:rsidRPr="005A550B" w:rsidRDefault="003F5F47" w:rsidP="00B21032">
            <w:pPr>
              <w:tabs>
                <w:tab w:val="left" w:pos="1080"/>
              </w:tabs>
              <w:spacing w:after="0" w:line="240" w:lineRule="auto"/>
              <w:contextualSpacing/>
              <w:jc w:val="right"/>
              <w:rPr>
                <w:rFonts w:ascii="Times New Roman" w:eastAsia="Times New Roman" w:hAnsi="Times New Roman"/>
                <w:sz w:val="20"/>
                <w:szCs w:val="20"/>
              </w:rPr>
            </w:pPr>
            <w:r w:rsidRPr="003F5F47">
              <w:rPr>
                <w:rFonts w:ascii="Times New Roman" w:eastAsia="Times New Roman" w:hAnsi="Times New Roman"/>
                <w:sz w:val="20"/>
                <w:szCs w:val="20"/>
              </w:rPr>
              <w:t>2</w:t>
            </w:r>
            <w:r>
              <w:rPr>
                <w:rFonts w:ascii="Times New Roman" w:eastAsia="Times New Roman" w:hAnsi="Times New Roman"/>
                <w:sz w:val="20"/>
                <w:szCs w:val="20"/>
              </w:rPr>
              <w:t>,</w:t>
            </w:r>
            <w:r w:rsidRPr="003F5F47">
              <w:rPr>
                <w:rFonts w:ascii="Times New Roman" w:eastAsia="Times New Roman" w:hAnsi="Times New Roman"/>
                <w:sz w:val="20"/>
                <w:szCs w:val="20"/>
              </w:rPr>
              <w:t>626</w:t>
            </w:r>
            <w:r>
              <w:rPr>
                <w:rFonts w:ascii="Times New Roman" w:eastAsia="Times New Roman" w:hAnsi="Times New Roman"/>
                <w:sz w:val="20"/>
                <w:szCs w:val="20"/>
              </w:rPr>
              <w:t>,</w:t>
            </w:r>
            <w:r w:rsidRPr="003F5F47">
              <w:rPr>
                <w:rFonts w:ascii="Times New Roman" w:eastAsia="Times New Roman" w:hAnsi="Times New Roman"/>
                <w:sz w:val="20"/>
                <w:szCs w:val="20"/>
              </w:rPr>
              <w:t>320.37</w:t>
            </w:r>
          </w:p>
        </w:tc>
        <w:tc>
          <w:tcPr>
            <w:tcW w:w="1458" w:type="dxa"/>
            <w:tcBorders>
              <w:bottom w:val="nil"/>
            </w:tcBorders>
          </w:tcPr>
          <w:p w:rsidR="00C3719C" w:rsidRPr="005A550B" w:rsidRDefault="00AD7A04" w:rsidP="00B21032">
            <w:pPr>
              <w:tabs>
                <w:tab w:val="left" w:pos="1080"/>
              </w:tabs>
              <w:spacing w:after="0" w:line="240" w:lineRule="auto"/>
              <w:contextualSpacing/>
              <w:jc w:val="right"/>
              <w:rPr>
                <w:rFonts w:ascii="Times New Roman" w:eastAsia="Times New Roman" w:hAnsi="Times New Roman"/>
                <w:sz w:val="20"/>
                <w:szCs w:val="20"/>
              </w:rPr>
            </w:pPr>
            <w:r w:rsidRPr="00AD7A04">
              <w:rPr>
                <w:rFonts w:ascii="Times New Roman" w:eastAsia="Times New Roman" w:hAnsi="Times New Roman"/>
                <w:sz w:val="20"/>
                <w:szCs w:val="20"/>
              </w:rPr>
              <w:t>174</w:t>
            </w:r>
            <w:r>
              <w:rPr>
                <w:rFonts w:ascii="Times New Roman" w:eastAsia="Times New Roman" w:hAnsi="Times New Roman"/>
                <w:sz w:val="20"/>
                <w:szCs w:val="20"/>
              </w:rPr>
              <w:t>,</w:t>
            </w:r>
            <w:r w:rsidRPr="00AD7A04">
              <w:rPr>
                <w:rFonts w:ascii="Times New Roman" w:eastAsia="Times New Roman" w:hAnsi="Times New Roman"/>
                <w:sz w:val="20"/>
                <w:szCs w:val="20"/>
              </w:rPr>
              <w:t>033.02</w:t>
            </w:r>
          </w:p>
        </w:tc>
        <w:tc>
          <w:tcPr>
            <w:tcW w:w="1345" w:type="dxa"/>
            <w:tcBorders>
              <w:bottom w:val="nil"/>
            </w:tcBorders>
          </w:tcPr>
          <w:p w:rsidR="00C3719C"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228</w:t>
            </w:r>
            <w:r w:rsidR="00736447">
              <w:rPr>
                <w:rFonts w:ascii="Times New Roman" w:eastAsia="Times New Roman" w:hAnsi="Times New Roman"/>
                <w:sz w:val="20"/>
                <w:szCs w:val="20"/>
              </w:rPr>
              <w:t>,</w:t>
            </w:r>
            <w:r w:rsidRPr="00072C10">
              <w:rPr>
                <w:rFonts w:ascii="Times New Roman" w:eastAsia="Times New Roman" w:hAnsi="Times New Roman"/>
                <w:sz w:val="20"/>
                <w:szCs w:val="20"/>
              </w:rPr>
              <w:t>499.86</w:t>
            </w:r>
          </w:p>
        </w:tc>
        <w:tc>
          <w:tcPr>
            <w:tcW w:w="1530" w:type="dxa"/>
            <w:tcBorders>
              <w:bottom w:val="nil"/>
            </w:tcBorders>
          </w:tcPr>
          <w:p w:rsidR="00C3719C"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3</w:t>
            </w:r>
            <w:r>
              <w:rPr>
                <w:rFonts w:ascii="Times New Roman" w:eastAsia="Times New Roman" w:hAnsi="Times New Roman"/>
                <w:sz w:val="20"/>
                <w:szCs w:val="20"/>
              </w:rPr>
              <w:t>,</w:t>
            </w:r>
            <w:r w:rsidRPr="00072C10">
              <w:rPr>
                <w:rFonts w:ascii="Times New Roman" w:eastAsia="Times New Roman" w:hAnsi="Times New Roman"/>
                <w:sz w:val="20"/>
                <w:szCs w:val="20"/>
              </w:rPr>
              <w:t>028</w:t>
            </w:r>
            <w:r>
              <w:rPr>
                <w:rFonts w:ascii="Times New Roman" w:eastAsia="Times New Roman" w:hAnsi="Times New Roman"/>
                <w:sz w:val="20"/>
                <w:szCs w:val="20"/>
              </w:rPr>
              <w:t>,</w:t>
            </w:r>
            <w:r w:rsidRPr="00072C10">
              <w:rPr>
                <w:rFonts w:ascii="Times New Roman" w:eastAsia="Times New Roman" w:hAnsi="Times New Roman"/>
                <w:sz w:val="20"/>
                <w:szCs w:val="20"/>
              </w:rPr>
              <w:t>853.25</w:t>
            </w:r>
          </w:p>
        </w:tc>
      </w:tr>
      <w:tr w:rsidR="00C3719C" w:rsidRPr="005A550B" w:rsidTr="004110D9">
        <w:tc>
          <w:tcPr>
            <w:tcW w:w="1170" w:type="dxa"/>
            <w:tcBorders>
              <w:top w:val="nil"/>
              <w:bottom w:val="single" w:sz="4" w:space="0" w:color="auto"/>
            </w:tcBorders>
          </w:tcPr>
          <w:p w:rsidR="00C3719C" w:rsidRPr="005A550B" w:rsidRDefault="00C3719C" w:rsidP="00B21032">
            <w:pPr>
              <w:tabs>
                <w:tab w:val="left" w:pos="1080"/>
              </w:tabs>
              <w:spacing w:after="0" w:line="240" w:lineRule="auto"/>
              <w:contextualSpacing/>
              <w:jc w:val="both"/>
              <w:rPr>
                <w:rFonts w:ascii="Times New Roman" w:eastAsia="Times New Roman" w:hAnsi="Times New Roman"/>
                <w:sz w:val="20"/>
                <w:szCs w:val="20"/>
              </w:rPr>
            </w:pPr>
            <w:r w:rsidRPr="005A550B">
              <w:rPr>
                <w:rFonts w:ascii="Times New Roman" w:eastAsia="Times New Roman" w:hAnsi="Times New Roman"/>
                <w:sz w:val="20"/>
                <w:szCs w:val="20"/>
              </w:rPr>
              <w:t>December</w:t>
            </w:r>
          </w:p>
        </w:tc>
        <w:tc>
          <w:tcPr>
            <w:tcW w:w="1237" w:type="dxa"/>
            <w:tcBorders>
              <w:top w:val="nil"/>
              <w:bottom w:val="single" w:sz="4" w:space="0" w:color="auto"/>
            </w:tcBorders>
          </w:tcPr>
          <w:p w:rsidR="00C3719C" w:rsidRPr="005A550B" w:rsidRDefault="003F5F47" w:rsidP="00B21032">
            <w:pPr>
              <w:tabs>
                <w:tab w:val="left" w:pos="1080"/>
              </w:tabs>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1/10/2017</w:t>
            </w:r>
          </w:p>
        </w:tc>
        <w:tc>
          <w:tcPr>
            <w:tcW w:w="1535" w:type="dxa"/>
            <w:tcBorders>
              <w:top w:val="nil"/>
              <w:bottom w:val="single" w:sz="4" w:space="0" w:color="auto"/>
            </w:tcBorders>
          </w:tcPr>
          <w:p w:rsidR="00C3719C" w:rsidRPr="005A550B" w:rsidRDefault="003F5F47" w:rsidP="00B21032">
            <w:pPr>
              <w:tabs>
                <w:tab w:val="left" w:pos="1080"/>
              </w:tabs>
              <w:spacing w:after="0" w:line="240" w:lineRule="auto"/>
              <w:contextualSpacing/>
              <w:jc w:val="right"/>
              <w:rPr>
                <w:rFonts w:ascii="Times New Roman" w:eastAsia="Times New Roman" w:hAnsi="Times New Roman"/>
                <w:sz w:val="20"/>
                <w:szCs w:val="20"/>
              </w:rPr>
            </w:pPr>
            <w:r w:rsidRPr="003F5F47">
              <w:rPr>
                <w:rFonts w:ascii="Times New Roman" w:eastAsia="Times New Roman" w:hAnsi="Times New Roman"/>
                <w:sz w:val="20"/>
                <w:szCs w:val="20"/>
              </w:rPr>
              <w:t>3</w:t>
            </w:r>
            <w:r>
              <w:rPr>
                <w:rFonts w:ascii="Times New Roman" w:eastAsia="Times New Roman" w:hAnsi="Times New Roman"/>
                <w:sz w:val="20"/>
                <w:szCs w:val="20"/>
              </w:rPr>
              <w:t>,</w:t>
            </w:r>
            <w:r w:rsidRPr="003F5F47">
              <w:rPr>
                <w:rFonts w:ascii="Times New Roman" w:eastAsia="Times New Roman" w:hAnsi="Times New Roman"/>
                <w:sz w:val="20"/>
                <w:szCs w:val="20"/>
              </w:rPr>
              <w:t>447</w:t>
            </w:r>
            <w:r>
              <w:rPr>
                <w:rFonts w:ascii="Times New Roman" w:eastAsia="Times New Roman" w:hAnsi="Times New Roman"/>
                <w:sz w:val="20"/>
                <w:szCs w:val="20"/>
              </w:rPr>
              <w:t>,</w:t>
            </w:r>
            <w:r w:rsidRPr="003F5F47">
              <w:rPr>
                <w:rFonts w:ascii="Times New Roman" w:eastAsia="Times New Roman" w:hAnsi="Times New Roman"/>
                <w:sz w:val="20"/>
                <w:szCs w:val="20"/>
              </w:rPr>
              <w:t>304.78</w:t>
            </w:r>
          </w:p>
        </w:tc>
        <w:tc>
          <w:tcPr>
            <w:tcW w:w="1458" w:type="dxa"/>
            <w:tcBorders>
              <w:top w:val="nil"/>
              <w:bottom w:val="single" w:sz="4" w:space="0" w:color="auto"/>
            </w:tcBorders>
          </w:tcPr>
          <w:p w:rsidR="00C3719C" w:rsidRPr="005A550B" w:rsidRDefault="00AD7A04" w:rsidP="00B21032">
            <w:pPr>
              <w:tabs>
                <w:tab w:val="left" w:pos="1080"/>
              </w:tabs>
              <w:spacing w:after="0" w:line="240" w:lineRule="auto"/>
              <w:contextualSpacing/>
              <w:jc w:val="right"/>
              <w:rPr>
                <w:rFonts w:ascii="Times New Roman" w:eastAsia="Times New Roman" w:hAnsi="Times New Roman"/>
                <w:sz w:val="20"/>
                <w:szCs w:val="20"/>
              </w:rPr>
            </w:pPr>
            <w:r w:rsidRPr="00AD7A04">
              <w:rPr>
                <w:rFonts w:ascii="Times New Roman" w:eastAsia="Times New Roman" w:hAnsi="Times New Roman"/>
                <w:sz w:val="20"/>
                <w:szCs w:val="20"/>
              </w:rPr>
              <w:t>84</w:t>
            </w:r>
            <w:r>
              <w:rPr>
                <w:rFonts w:ascii="Times New Roman" w:eastAsia="Times New Roman" w:hAnsi="Times New Roman"/>
                <w:sz w:val="20"/>
                <w:szCs w:val="20"/>
              </w:rPr>
              <w:t>,</w:t>
            </w:r>
            <w:r w:rsidRPr="00AD7A04">
              <w:rPr>
                <w:rFonts w:ascii="Times New Roman" w:eastAsia="Times New Roman" w:hAnsi="Times New Roman"/>
                <w:sz w:val="20"/>
                <w:szCs w:val="20"/>
              </w:rPr>
              <w:t>624.55</w:t>
            </w:r>
          </w:p>
        </w:tc>
        <w:tc>
          <w:tcPr>
            <w:tcW w:w="1345" w:type="dxa"/>
            <w:tcBorders>
              <w:top w:val="nil"/>
              <w:bottom w:val="single" w:sz="4" w:space="0" w:color="auto"/>
            </w:tcBorders>
          </w:tcPr>
          <w:p w:rsidR="00C3719C"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101</w:t>
            </w:r>
            <w:r w:rsidR="00736447">
              <w:rPr>
                <w:rFonts w:ascii="Times New Roman" w:eastAsia="Times New Roman" w:hAnsi="Times New Roman"/>
                <w:sz w:val="20"/>
                <w:szCs w:val="20"/>
              </w:rPr>
              <w:t>,</w:t>
            </w:r>
            <w:r w:rsidRPr="00072C10">
              <w:rPr>
                <w:rFonts w:ascii="Times New Roman" w:eastAsia="Times New Roman" w:hAnsi="Times New Roman"/>
                <w:sz w:val="20"/>
                <w:szCs w:val="20"/>
              </w:rPr>
              <w:t>271.81</w:t>
            </w:r>
          </w:p>
        </w:tc>
        <w:tc>
          <w:tcPr>
            <w:tcW w:w="1530" w:type="dxa"/>
            <w:tcBorders>
              <w:top w:val="nil"/>
              <w:bottom w:val="single" w:sz="4" w:space="0" w:color="auto"/>
            </w:tcBorders>
          </w:tcPr>
          <w:p w:rsidR="00C3719C" w:rsidRPr="005A550B" w:rsidRDefault="00072C10" w:rsidP="00B21032">
            <w:pPr>
              <w:tabs>
                <w:tab w:val="left" w:pos="1080"/>
              </w:tabs>
              <w:spacing w:after="0" w:line="240" w:lineRule="auto"/>
              <w:contextualSpacing/>
              <w:jc w:val="right"/>
              <w:rPr>
                <w:rFonts w:ascii="Times New Roman" w:eastAsia="Times New Roman" w:hAnsi="Times New Roman"/>
                <w:sz w:val="20"/>
                <w:szCs w:val="20"/>
              </w:rPr>
            </w:pPr>
            <w:r w:rsidRPr="00072C10">
              <w:rPr>
                <w:rFonts w:ascii="Times New Roman" w:eastAsia="Times New Roman" w:hAnsi="Times New Roman"/>
                <w:sz w:val="20"/>
                <w:szCs w:val="20"/>
              </w:rPr>
              <w:t>3</w:t>
            </w:r>
            <w:r>
              <w:rPr>
                <w:rFonts w:ascii="Times New Roman" w:eastAsia="Times New Roman" w:hAnsi="Times New Roman"/>
                <w:sz w:val="20"/>
                <w:szCs w:val="20"/>
              </w:rPr>
              <w:t>,</w:t>
            </w:r>
            <w:r w:rsidRPr="00072C10">
              <w:rPr>
                <w:rFonts w:ascii="Times New Roman" w:eastAsia="Times New Roman" w:hAnsi="Times New Roman"/>
                <w:sz w:val="20"/>
                <w:szCs w:val="20"/>
              </w:rPr>
              <w:t>633</w:t>
            </w:r>
            <w:r>
              <w:rPr>
                <w:rFonts w:ascii="Times New Roman" w:eastAsia="Times New Roman" w:hAnsi="Times New Roman"/>
                <w:sz w:val="20"/>
                <w:szCs w:val="20"/>
              </w:rPr>
              <w:t>,</w:t>
            </w:r>
            <w:r w:rsidRPr="00072C10">
              <w:rPr>
                <w:rFonts w:ascii="Times New Roman" w:eastAsia="Times New Roman" w:hAnsi="Times New Roman"/>
                <w:sz w:val="20"/>
                <w:szCs w:val="20"/>
              </w:rPr>
              <w:t>201.14</w:t>
            </w:r>
          </w:p>
        </w:tc>
      </w:tr>
      <w:tr w:rsidR="00C3719C" w:rsidRPr="005A550B" w:rsidTr="004110D9">
        <w:tc>
          <w:tcPr>
            <w:tcW w:w="1170" w:type="dxa"/>
            <w:tcBorders>
              <w:top w:val="single" w:sz="4" w:space="0" w:color="auto"/>
            </w:tcBorders>
          </w:tcPr>
          <w:p w:rsidR="00C3719C" w:rsidRPr="005A550B" w:rsidRDefault="00C3719C" w:rsidP="00B21032">
            <w:pPr>
              <w:tabs>
                <w:tab w:val="left" w:pos="1080"/>
              </w:tabs>
              <w:spacing w:after="0" w:line="240" w:lineRule="auto"/>
              <w:contextualSpacing/>
              <w:jc w:val="both"/>
              <w:rPr>
                <w:rFonts w:ascii="Times New Roman" w:eastAsia="Times New Roman" w:hAnsi="Times New Roman"/>
                <w:b/>
                <w:sz w:val="20"/>
                <w:szCs w:val="20"/>
              </w:rPr>
            </w:pPr>
            <w:r w:rsidRPr="005A550B">
              <w:rPr>
                <w:rFonts w:ascii="Times New Roman" w:eastAsia="Times New Roman" w:hAnsi="Times New Roman"/>
                <w:b/>
                <w:sz w:val="20"/>
                <w:szCs w:val="20"/>
              </w:rPr>
              <w:t xml:space="preserve">  T</w:t>
            </w:r>
            <w:r w:rsidR="005A550B" w:rsidRPr="005A550B">
              <w:rPr>
                <w:rFonts w:ascii="Times New Roman" w:eastAsia="Times New Roman" w:hAnsi="Times New Roman"/>
                <w:b/>
                <w:sz w:val="20"/>
                <w:szCs w:val="20"/>
              </w:rPr>
              <w:t>otal</w:t>
            </w:r>
          </w:p>
        </w:tc>
        <w:tc>
          <w:tcPr>
            <w:tcW w:w="1237" w:type="dxa"/>
            <w:tcBorders>
              <w:top w:val="single" w:sz="4" w:space="0" w:color="auto"/>
            </w:tcBorders>
          </w:tcPr>
          <w:p w:rsidR="00C3719C" w:rsidRPr="005A550B" w:rsidRDefault="00C3719C" w:rsidP="00B21032">
            <w:pPr>
              <w:tabs>
                <w:tab w:val="left" w:pos="1080"/>
              </w:tabs>
              <w:spacing w:after="0" w:line="240" w:lineRule="auto"/>
              <w:contextualSpacing/>
              <w:jc w:val="both"/>
              <w:rPr>
                <w:rFonts w:ascii="Times New Roman" w:eastAsia="Times New Roman" w:hAnsi="Times New Roman"/>
                <w:b/>
                <w:sz w:val="20"/>
                <w:szCs w:val="20"/>
              </w:rPr>
            </w:pPr>
          </w:p>
        </w:tc>
        <w:tc>
          <w:tcPr>
            <w:tcW w:w="1535" w:type="dxa"/>
            <w:tcBorders>
              <w:top w:val="single" w:sz="4" w:space="0" w:color="auto"/>
            </w:tcBorders>
          </w:tcPr>
          <w:p w:rsidR="00C3719C" w:rsidRPr="00F833D2" w:rsidRDefault="005A550B" w:rsidP="003F5F47">
            <w:pPr>
              <w:tabs>
                <w:tab w:val="left" w:pos="1080"/>
              </w:tabs>
              <w:spacing w:after="0" w:line="240" w:lineRule="auto"/>
              <w:contextualSpacing/>
              <w:jc w:val="right"/>
              <w:rPr>
                <w:rFonts w:ascii="Times New Roman" w:eastAsia="Times New Roman" w:hAnsi="Times New Roman"/>
                <w:b/>
                <w:sz w:val="20"/>
                <w:szCs w:val="20"/>
              </w:rPr>
            </w:pPr>
            <w:r w:rsidRPr="00F833D2">
              <w:rPr>
                <w:rFonts w:ascii="Times New Roman" w:hAnsi="Times New Roman" w:cs="Times New Roman"/>
                <w:b/>
                <w:dstrike/>
                <w:sz w:val="20"/>
                <w:szCs w:val="20"/>
              </w:rPr>
              <w:t>P</w:t>
            </w:r>
            <w:r w:rsidR="003F5F47">
              <w:rPr>
                <w:rFonts w:ascii="Times New Roman" w:eastAsia="Times New Roman" w:hAnsi="Times New Roman"/>
                <w:b/>
                <w:sz w:val="20"/>
                <w:szCs w:val="20"/>
              </w:rPr>
              <w:t>23,513,215.59</w:t>
            </w:r>
          </w:p>
        </w:tc>
        <w:tc>
          <w:tcPr>
            <w:tcW w:w="1458" w:type="dxa"/>
            <w:tcBorders>
              <w:top w:val="single" w:sz="4" w:space="0" w:color="auto"/>
            </w:tcBorders>
          </w:tcPr>
          <w:p w:rsidR="00C3719C" w:rsidRPr="00F833D2" w:rsidRDefault="005A550B" w:rsidP="00B21032">
            <w:pPr>
              <w:tabs>
                <w:tab w:val="left" w:pos="1080"/>
              </w:tabs>
              <w:spacing w:after="0" w:line="240" w:lineRule="auto"/>
              <w:contextualSpacing/>
              <w:jc w:val="right"/>
              <w:rPr>
                <w:rFonts w:ascii="Times New Roman" w:eastAsia="Times New Roman" w:hAnsi="Times New Roman"/>
                <w:b/>
                <w:sz w:val="20"/>
                <w:szCs w:val="20"/>
              </w:rPr>
            </w:pPr>
            <w:r w:rsidRPr="00F833D2">
              <w:rPr>
                <w:rFonts w:ascii="Times New Roman" w:hAnsi="Times New Roman" w:cs="Times New Roman"/>
                <w:b/>
                <w:dstrike/>
                <w:sz w:val="20"/>
                <w:szCs w:val="20"/>
              </w:rPr>
              <w:t>P</w:t>
            </w:r>
            <w:r w:rsidR="00AD7A04">
              <w:rPr>
                <w:rFonts w:ascii="Times New Roman" w:eastAsia="Times New Roman" w:hAnsi="Times New Roman"/>
                <w:b/>
                <w:sz w:val="20"/>
                <w:szCs w:val="20"/>
              </w:rPr>
              <w:t>852,304.80</w:t>
            </w:r>
          </w:p>
        </w:tc>
        <w:tc>
          <w:tcPr>
            <w:tcW w:w="1345" w:type="dxa"/>
            <w:tcBorders>
              <w:top w:val="single" w:sz="4" w:space="0" w:color="auto"/>
            </w:tcBorders>
          </w:tcPr>
          <w:p w:rsidR="00C3719C" w:rsidRPr="00F833D2" w:rsidRDefault="005A550B" w:rsidP="00B21032">
            <w:pPr>
              <w:tabs>
                <w:tab w:val="left" w:pos="1080"/>
              </w:tabs>
              <w:spacing w:after="0" w:line="240" w:lineRule="auto"/>
              <w:contextualSpacing/>
              <w:jc w:val="right"/>
              <w:rPr>
                <w:rFonts w:ascii="Times New Roman" w:eastAsia="Times New Roman" w:hAnsi="Times New Roman"/>
                <w:b/>
                <w:sz w:val="20"/>
                <w:szCs w:val="20"/>
              </w:rPr>
            </w:pPr>
            <w:r w:rsidRPr="00F833D2">
              <w:rPr>
                <w:rFonts w:ascii="Times New Roman" w:hAnsi="Times New Roman" w:cs="Times New Roman"/>
                <w:b/>
                <w:dstrike/>
                <w:sz w:val="20"/>
                <w:szCs w:val="20"/>
              </w:rPr>
              <w:t>P</w:t>
            </w:r>
            <w:r w:rsidR="00072C10">
              <w:rPr>
                <w:rFonts w:ascii="Times New Roman" w:eastAsia="Times New Roman" w:hAnsi="Times New Roman"/>
                <w:b/>
                <w:sz w:val="20"/>
                <w:szCs w:val="20"/>
              </w:rPr>
              <w:t>803,414.91</w:t>
            </w:r>
          </w:p>
        </w:tc>
        <w:tc>
          <w:tcPr>
            <w:tcW w:w="1530" w:type="dxa"/>
            <w:tcBorders>
              <w:top w:val="single" w:sz="4" w:space="0" w:color="auto"/>
            </w:tcBorders>
          </w:tcPr>
          <w:p w:rsidR="00C3719C" w:rsidRPr="00F833D2" w:rsidRDefault="005A550B" w:rsidP="00B21032">
            <w:pPr>
              <w:tabs>
                <w:tab w:val="left" w:pos="1080"/>
              </w:tabs>
              <w:spacing w:after="0" w:line="240" w:lineRule="auto"/>
              <w:contextualSpacing/>
              <w:jc w:val="right"/>
              <w:rPr>
                <w:rFonts w:ascii="Times New Roman" w:eastAsia="Times New Roman" w:hAnsi="Times New Roman"/>
                <w:b/>
                <w:sz w:val="20"/>
                <w:szCs w:val="20"/>
              </w:rPr>
            </w:pPr>
            <w:r w:rsidRPr="00F833D2">
              <w:rPr>
                <w:rFonts w:ascii="Times New Roman" w:hAnsi="Times New Roman" w:cs="Times New Roman"/>
                <w:b/>
                <w:dstrike/>
                <w:sz w:val="20"/>
                <w:szCs w:val="20"/>
              </w:rPr>
              <w:t>P</w:t>
            </w:r>
            <w:r w:rsidR="00D768D8" w:rsidRPr="00F833D2">
              <w:rPr>
                <w:rFonts w:ascii="Times New Roman" w:eastAsia="Times New Roman" w:hAnsi="Times New Roman"/>
                <w:b/>
                <w:sz w:val="20"/>
                <w:szCs w:val="20"/>
              </w:rPr>
              <w:t>2</w:t>
            </w:r>
            <w:r w:rsidR="00072C10">
              <w:rPr>
                <w:rFonts w:ascii="Times New Roman" w:eastAsia="Times New Roman" w:hAnsi="Times New Roman"/>
                <w:b/>
                <w:sz w:val="20"/>
                <w:szCs w:val="20"/>
              </w:rPr>
              <w:t>5,168,935.30</w:t>
            </w:r>
          </w:p>
        </w:tc>
      </w:tr>
    </w:tbl>
    <w:p w:rsidR="00127AEE" w:rsidRPr="005C3C5E" w:rsidRDefault="00127AEE" w:rsidP="00B21032">
      <w:pPr>
        <w:tabs>
          <w:tab w:val="left" w:pos="1080"/>
        </w:tabs>
        <w:spacing w:after="0" w:line="240" w:lineRule="auto"/>
        <w:ind w:left="450" w:hanging="450"/>
        <w:contextualSpacing/>
        <w:jc w:val="both"/>
        <w:rPr>
          <w:rFonts w:ascii="Times New Roman" w:eastAsia="Times New Roman" w:hAnsi="Times New Roman"/>
          <w:b/>
          <w:sz w:val="24"/>
          <w:szCs w:val="24"/>
        </w:rPr>
      </w:pPr>
    </w:p>
    <w:p w:rsidR="00EA7264" w:rsidRDefault="00EA7264" w:rsidP="00B21032">
      <w:pPr>
        <w:pStyle w:val="ListParagraph"/>
        <w:spacing w:line="240" w:lineRule="auto"/>
        <w:ind w:left="450"/>
        <w:contextualSpacing/>
        <w:jc w:val="both"/>
        <w:rPr>
          <w:rFonts w:ascii="Times New Roman" w:hAnsi="Times New Roman" w:cs="Times New Roman"/>
          <w:b/>
          <w:bCs/>
          <w:sz w:val="24"/>
          <w:szCs w:val="24"/>
        </w:rPr>
      </w:pPr>
    </w:p>
    <w:p w:rsidR="00644EF0" w:rsidRPr="00EC7206" w:rsidRDefault="00644EF0" w:rsidP="00B21032">
      <w:pPr>
        <w:pStyle w:val="ListParagraph"/>
        <w:numPr>
          <w:ilvl w:val="0"/>
          <w:numId w:val="2"/>
        </w:numPr>
        <w:spacing w:line="240" w:lineRule="auto"/>
        <w:ind w:left="450" w:hanging="540"/>
        <w:contextualSpacing/>
        <w:jc w:val="both"/>
        <w:rPr>
          <w:rFonts w:ascii="Times New Roman" w:hAnsi="Times New Roman" w:cs="Times New Roman"/>
          <w:b/>
          <w:bCs/>
          <w:sz w:val="24"/>
          <w:szCs w:val="24"/>
        </w:rPr>
      </w:pPr>
      <w:r w:rsidRPr="00EC7206">
        <w:rPr>
          <w:rFonts w:ascii="Times New Roman" w:hAnsi="Times New Roman" w:cs="Times New Roman"/>
          <w:b/>
          <w:bCs/>
          <w:sz w:val="24"/>
          <w:szCs w:val="24"/>
        </w:rPr>
        <w:t xml:space="preserve">Compliance with </w:t>
      </w:r>
      <w:r w:rsidR="000F4460" w:rsidRPr="00EC7206">
        <w:rPr>
          <w:rFonts w:ascii="Times New Roman" w:hAnsi="Times New Roman" w:cs="Times New Roman"/>
          <w:b/>
          <w:bCs/>
          <w:sz w:val="24"/>
          <w:szCs w:val="24"/>
        </w:rPr>
        <w:t>Government Service Insurance System (</w:t>
      </w:r>
      <w:r w:rsidR="00CE54FE" w:rsidRPr="00EC7206">
        <w:rPr>
          <w:rFonts w:ascii="Times New Roman" w:hAnsi="Times New Roman" w:cs="Times New Roman"/>
          <w:b/>
          <w:bCs/>
          <w:sz w:val="24"/>
          <w:szCs w:val="24"/>
        </w:rPr>
        <w:t>GSIS</w:t>
      </w:r>
      <w:r w:rsidR="000F4460" w:rsidRPr="00EC7206">
        <w:rPr>
          <w:rFonts w:ascii="Times New Roman" w:hAnsi="Times New Roman" w:cs="Times New Roman"/>
          <w:b/>
          <w:bCs/>
          <w:sz w:val="24"/>
          <w:szCs w:val="24"/>
        </w:rPr>
        <w:t>)</w:t>
      </w:r>
      <w:r w:rsidR="00CE54FE" w:rsidRPr="00EC7206">
        <w:rPr>
          <w:rFonts w:ascii="Times New Roman" w:hAnsi="Times New Roman" w:cs="Times New Roman"/>
          <w:b/>
          <w:bCs/>
          <w:sz w:val="24"/>
          <w:szCs w:val="24"/>
        </w:rPr>
        <w:t xml:space="preserve"> Premium Deductions and Remittances (</w:t>
      </w:r>
      <w:r w:rsidRPr="00EC7206">
        <w:rPr>
          <w:rFonts w:ascii="Times New Roman" w:hAnsi="Times New Roman" w:cs="Times New Roman"/>
          <w:b/>
          <w:bCs/>
          <w:sz w:val="24"/>
          <w:szCs w:val="24"/>
        </w:rPr>
        <w:t>RA 8291</w:t>
      </w:r>
      <w:r w:rsidR="00CE54FE" w:rsidRPr="00EC7206">
        <w:rPr>
          <w:rFonts w:ascii="Times New Roman" w:hAnsi="Times New Roman" w:cs="Times New Roman"/>
          <w:b/>
          <w:bCs/>
          <w:sz w:val="24"/>
          <w:szCs w:val="24"/>
        </w:rPr>
        <w:t>)</w:t>
      </w:r>
    </w:p>
    <w:p w:rsidR="008A4439" w:rsidRPr="008A4439" w:rsidRDefault="008A4439" w:rsidP="00B21032">
      <w:pPr>
        <w:pStyle w:val="ListParagraph"/>
        <w:spacing w:line="240" w:lineRule="auto"/>
        <w:ind w:left="450"/>
        <w:contextualSpacing/>
        <w:jc w:val="both"/>
        <w:rPr>
          <w:rFonts w:ascii="Times New Roman" w:hAnsi="Times New Roman" w:cs="Times New Roman"/>
          <w:b/>
          <w:bCs/>
          <w:sz w:val="24"/>
          <w:szCs w:val="24"/>
        </w:rPr>
      </w:pPr>
    </w:p>
    <w:p w:rsidR="003B0383" w:rsidRPr="005E3982" w:rsidRDefault="003B0383" w:rsidP="00EC7206">
      <w:pPr>
        <w:pStyle w:val="ListParagraph"/>
        <w:numPr>
          <w:ilvl w:val="1"/>
          <w:numId w:val="2"/>
        </w:numPr>
        <w:tabs>
          <w:tab w:val="left" w:pos="1080"/>
        </w:tabs>
        <w:spacing w:after="0" w:line="240" w:lineRule="auto"/>
        <w:ind w:left="990" w:hanging="540"/>
        <w:contextualSpacing/>
        <w:jc w:val="both"/>
        <w:rPr>
          <w:rFonts w:ascii="Times New Roman" w:hAnsi="Times New Roman" w:cs="Times New Roman"/>
          <w:sz w:val="24"/>
          <w:szCs w:val="24"/>
        </w:rPr>
      </w:pPr>
      <w:r w:rsidRPr="005E3982">
        <w:rPr>
          <w:rFonts w:ascii="Times New Roman" w:hAnsi="Times New Roman" w:cs="Times New Roman"/>
          <w:sz w:val="24"/>
          <w:szCs w:val="24"/>
        </w:rPr>
        <w:t>GSIS Social Insurance and Employees Compensation Fund premiums were deducted from the salaries of employees and remitted on time to the GSIS.</w:t>
      </w:r>
    </w:p>
    <w:p w:rsidR="005E3982" w:rsidRDefault="005E3982" w:rsidP="00B21032">
      <w:pPr>
        <w:pStyle w:val="ListParagraph"/>
        <w:tabs>
          <w:tab w:val="left" w:pos="1080"/>
        </w:tabs>
        <w:spacing w:after="0" w:line="240" w:lineRule="auto"/>
        <w:ind w:left="810"/>
        <w:contextualSpacing/>
        <w:jc w:val="both"/>
        <w:rPr>
          <w:rFonts w:ascii="Times New Roman" w:hAnsi="Times New Roman" w:cs="Times New Roman"/>
          <w:sz w:val="24"/>
          <w:szCs w:val="24"/>
        </w:rPr>
      </w:pPr>
    </w:p>
    <w:tbl>
      <w:tblPr>
        <w:tblW w:w="0" w:type="auto"/>
        <w:tblInd w:w="1098" w:type="dxa"/>
        <w:tblBorders>
          <w:top w:val="single" w:sz="4" w:space="0" w:color="000000"/>
          <w:bottom w:val="single" w:sz="4" w:space="0" w:color="000000"/>
        </w:tblBorders>
        <w:tblLook w:val="04A0" w:firstRow="1" w:lastRow="0" w:firstColumn="1" w:lastColumn="0" w:noHBand="0" w:noVBand="1"/>
      </w:tblPr>
      <w:tblGrid>
        <w:gridCol w:w="2610"/>
        <w:gridCol w:w="2340"/>
        <w:gridCol w:w="2700"/>
      </w:tblGrid>
      <w:tr w:rsidR="009272A0" w:rsidRPr="009272A0" w:rsidTr="00CE2DEF">
        <w:trPr>
          <w:tblHeader/>
        </w:trPr>
        <w:tc>
          <w:tcPr>
            <w:tcW w:w="2610" w:type="dxa"/>
            <w:tcBorders>
              <w:top w:val="single" w:sz="4" w:space="0" w:color="000000"/>
              <w:bottom w:val="single" w:sz="4" w:space="0" w:color="000000"/>
            </w:tcBorders>
            <w:shd w:val="clear" w:color="auto" w:fill="auto"/>
          </w:tcPr>
          <w:p w:rsidR="009272A0" w:rsidRPr="009272A0" w:rsidRDefault="009272A0" w:rsidP="00566583">
            <w:pPr>
              <w:tabs>
                <w:tab w:val="left" w:pos="1080"/>
              </w:tabs>
              <w:spacing w:after="0" w:line="240" w:lineRule="auto"/>
              <w:contextualSpacing/>
              <w:rPr>
                <w:rFonts w:ascii="Times New Roman" w:hAnsi="Times New Roman" w:cs="Times New Roman"/>
                <w:b/>
                <w:sz w:val="24"/>
                <w:szCs w:val="24"/>
              </w:rPr>
            </w:pPr>
            <w:r w:rsidRPr="009272A0">
              <w:rPr>
                <w:rFonts w:ascii="Times New Roman" w:hAnsi="Times New Roman" w:cs="Times New Roman"/>
                <w:b/>
                <w:sz w:val="24"/>
                <w:szCs w:val="24"/>
              </w:rPr>
              <w:t>Month Covered</w:t>
            </w:r>
          </w:p>
        </w:tc>
        <w:tc>
          <w:tcPr>
            <w:tcW w:w="2340" w:type="dxa"/>
            <w:tcBorders>
              <w:top w:val="single" w:sz="4" w:space="0" w:color="000000"/>
              <w:bottom w:val="single" w:sz="4" w:space="0" w:color="000000"/>
            </w:tcBorders>
            <w:shd w:val="clear" w:color="auto" w:fill="auto"/>
          </w:tcPr>
          <w:p w:rsidR="009272A0" w:rsidRPr="009272A0" w:rsidRDefault="009272A0" w:rsidP="00144386">
            <w:pPr>
              <w:tabs>
                <w:tab w:val="left" w:pos="1080"/>
              </w:tabs>
              <w:spacing w:after="0" w:line="240" w:lineRule="auto"/>
              <w:contextualSpacing/>
              <w:jc w:val="center"/>
              <w:rPr>
                <w:rFonts w:ascii="Times New Roman" w:hAnsi="Times New Roman" w:cs="Times New Roman"/>
                <w:b/>
                <w:sz w:val="24"/>
                <w:szCs w:val="24"/>
              </w:rPr>
            </w:pPr>
            <w:r w:rsidRPr="009272A0">
              <w:rPr>
                <w:rFonts w:ascii="Times New Roman" w:hAnsi="Times New Roman" w:cs="Times New Roman"/>
                <w:b/>
                <w:sz w:val="24"/>
                <w:szCs w:val="24"/>
              </w:rPr>
              <w:t>Date Remitted</w:t>
            </w:r>
          </w:p>
        </w:tc>
        <w:tc>
          <w:tcPr>
            <w:tcW w:w="2700" w:type="dxa"/>
            <w:tcBorders>
              <w:top w:val="single" w:sz="4" w:space="0" w:color="000000"/>
              <w:bottom w:val="single" w:sz="4" w:space="0" w:color="000000"/>
            </w:tcBorders>
            <w:shd w:val="clear" w:color="auto" w:fill="auto"/>
          </w:tcPr>
          <w:p w:rsidR="009272A0" w:rsidRPr="009272A0" w:rsidRDefault="00566583" w:rsidP="00144386">
            <w:pPr>
              <w:tabs>
                <w:tab w:val="left" w:pos="108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9272A0" w:rsidRPr="009272A0">
              <w:rPr>
                <w:rFonts w:ascii="Times New Roman" w:hAnsi="Times New Roman" w:cs="Times New Roman"/>
                <w:b/>
                <w:sz w:val="24"/>
                <w:szCs w:val="24"/>
              </w:rPr>
              <w:t>Amount</w:t>
            </w:r>
          </w:p>
        </w:tc>
      </w:tr>
      <w:tr w:rsidR="009272A0" w:rsidRPr="009272A0" w:rsidTr="00CE2DEF">
        <w:tc>
          <w:tcPr>
            <w:tcW w:w="2610" w:type="dxa"/>
            <w:tcBorders>
              <w:top w:val="single" w:sz="4" w:space="0" w:color="000000"/>
            </w:tcBorders>
            <w:shd w:val="clear" w:color="auto" w:fill="auto"/>
          </w:tcPr>
          <w:p w:rsidR="009272A0" w:rsidRPr="005E3982" w:rsidRDefault="009272A0" w:rsidP="00B21032">
            <w:pPr>
              <w:tabs>
                <w:tab w:val="left" w:pos="1080"/>
              </w:tabs>
              <w:spacing w:after="0" w:line="240" w:lineRule="auto"/>
              <w:contextualSpacing/>
              <w:rPr>
                <w:rFonts w:ascii="Times New Roman" w:hAnsi="Times New Roman" w:cs="Times New Roman"/>
                <w:sz w:val="24"/>
                <w:szCs w:val="24"/>
              </w:rPr>
            </w:pPr>
            <w:r w:rsidRPr="005E3982">
              <w:rPr>
                <w:rFonts w:ascii="Times New Roman" w:hAnsi="Times New Roman" w:cs="Times New Roman"/>
                <w:sz w:val="24"/>
                <w:szCs w:val="24"/>
              </w:rPr>
              <w:t>January</w:t>
            </w:r>
          </w:p>
        </w:tc>
        <w:tc>
          <w:tcPr>
            <w:tcW w:w="2340" w:type="dxa"/>
            <w:tcBorders>
              <w:top w:val="single" w:sz="4" w:space="0" w:color="000000"/>
            </w:tcBorders>
            <w:shd w:val="clear" w:color="auto" w:fill="auto"/>
          </w:tcPr>
          <w:p w:rsidR="009272A0" w:rsidRPr="005E3982" w:rsidRDefault="00EC7206" w:rsidP="00566583">
            <w:pPr>
              <w:tabs>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072C10">
              <w:rPr>
                <w:rFonts w:ascii="Times New Roman" w:hAnsi="Times New Roman" w:cs="Times New Roman"/>
                <w:sz w:val="24"/>
                <w:szCs w:val="24"/>
              </w:rPr>
              <w:t>0</w:t>
            </w:r>
            <w:r>
              <w:rPr>
                <w:rFonts w:ascii="Times New Roman" w:hAnsi="Times New Roman" w:cs="Times New Roman"/>
                <w:sz w:val="24"/>
                <w:szCs w:val="24"/>
              </w:rPr>
              <w:t>3/2016</w:t>
            </w:r>
          </w:p>
        </w:tc>
        <w:tc>
          <w:tcPr>
            <w:tcW w:w="2700" w:type="dxa"/>
            <w:tcBorders>
              <w:top w:val="single" w:sz="4" w:space="0" w:color="000000"/>
            </w:tcBorders>
            <w:shd w:val="clear" w:color="auto" w:fill="auto"/>
          </w:tcPr>
          <w:p w:rsidR="009272A0" w:rsidRPr="005E3982" w:rsidRDefault="009656C4" w:rsidP="00B21032">
            <w:pPr>
              <w:tabs>
                <w:tab w:val="left" w:pos="1080"/>
              </w:tabs>
              <w:spacing w:after="0" w:line="240" w:lineRule="auto"/>
              <w:contextualSpacing/>
              <w:jc w:val="right"/>
              <w:rPr>
                <w:rFonts w:ascii="Times New Roman" w:hAnsi="Times New Roman" w:cs="Times New Roman"/>
                <w:sz w:val="24"/>
                <w:szCs w:val="24"/>
              </w:rPr>
            </w:pPr>
            <w:r w:rsidRPr="00F833D2">
              <w:rPr>
                <w:rFonts w:ascii="Times New Roman" w:hAnsi="Times New Roman" w:cs="Times New Roman"/>
                <w:dstrike/>
                <w:sz w:val="24"/>
                <w:szCs w:val="24"/>
              </w:rPr>
              <w:t>P</w:t>
            </w:r>
            <w:r w:rsidR="009272A0" w:rsidRPr="00F833D2">
              <w:rPr>
                <w:rFonts w:ascii="Times New Roman" w:hAnsi="Times New Roman" w:cs="Times New Roman"/>
                <w:sz w:val="24"/>
                <w:szCs w:val="24"/>
              </w:rPr>
              <w:t xml:space="preserve"> </w:t>
            </w:r>
            <w:r w:rsidR="00EC7206">
              <w:rPr>
                <w:rFonts w:ascii="Times New Roman" w:hAnsi="Times New Roman" w:cs="Times New Roman"/>
                <w:sz w:val="24"/>
                <w:szCs w:val="24"/>
              </w:rPr>
              <w:t xml:space="preserve"> 1,082,631.14</w:t>
            </w:r>
            <w:r w:rsidR="009272A0" w:rsidRPr="005E3982">
              <w:rPr>
                <w:rFonts w:ascii="Times New Roman" w:hAnsi="Times New Roman" w:cs="Times New Roman"/>
                <w:sz w:val="24"/>
                <w:szCs w:val="24"/>
              </w:rPr>
              <w:t xml:space="preserve"> </w:t>
            </w:r>
          </w:p>
        </w:tc>
      </w:tr>
      <w:tr w:rsidR="009272A0" w:rsidRPr="009272A0" w:rsidTr="00CE2DEF">
        <w:tc>
          <w:tcPr>
            <w:tcW w:w="2610" w:type="dxa"/>
            <w:shd w:val="clear" w:color="auto" w:fill="auto"/>
          </w:tcPr>
          <w:p w:rsidR="009272A0" w:rsidRPr="005E3982" w:rsidRDefault="009272A0" w:rsidP="00B21032">
            <w:pPr>
              <w:tabs>
                <w:tab w:val="left" w:pos="1080"/>
              </w:tabs>
              <w:spacing w:after="0" w:line="240" w:lineRule="auto"/>
              <w:contextualSpacing/>
              <w:rPr>
                <w:rFonts w:ascii="Times New Roman" w:hAnsi="Times New Roman" w:cs="Times New Roman"/>
                <w:sz w:val="24"/>
                <w:szCs w:val="24"/>
              </w:rPr>
            </w:pPr>
            <w:r w:rsidRPr="005E3982">
              <w:rPr>
                <w:rFonts w:ascii="Times New Roman" w:hAnsi="Times New Roman" w:cs="Times New Roman"/>
                <w:sz w:val="24"/>
                <w:szCs w:val="24"/>
              </w:rPr>
              <w:t>February</w:t>
            </w:r>
          </w:p>
        </w:tc>
        <w:tc>
          <w:tcPr>
            <w:tcW w:w="2340" w:type="dxa"/>
            <w:shd w:val="clear" w:color="auto" w:fill="auto"/>
          </w:tcPr>
          <w:p w:rsidR="009272A0" w:rsidRPr="005E3982" w:rsidRDefault="00EC7206" w:rsidP="00566583">
            <w:pPr>
              <w:tabs>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072C10">
              <w:rPr>
                <w:rFonts w:ascii="Times New Roman" w:hAnsi="Times New Roman" w:cs="Times New Roman"/>
                <w:sz w:val="24"/>
                <w:szCs w:val="24"/>
              </w:rPr>
              <w:t>0</w:t>
            </w:r>
            <w:r>
              <w:rPr>
                <w:rFonts w:ascii="Times New Roman" w:hAnsi="Times New Roman" w:cs="Times New Roman"/>
                <w:sz w:val="24"/>
                <w:szCs w:val="24"/>
              </w:rPr>
              <w:t>7/2016</w:t>
            </w:r>
          </w:p>
        </w:tc>
        <w:tc>
          <w:tcPr>
            <w:tcW w:w="2700" w:type="dxa"/>
            <w:shd w:val="clear" w:color="auto" w:fill="auto"/>
          </w:tcPr>
          <w:p w:rsidR="009272A0" w:rsidRPr="005E3982" w:rsidRDefault="00EC7206" w:rsidP="00B21032">
            <w:pPr>
              <w:tabs>
                <w:tab w:val="left" w:pos="108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1,079,486.78</w:t>
            </w:r>
            <w:r w:rsidR="009272A0" w:rsidRPr="005E3982">
              <w:rPr>
                <w:rFonts w:ascii="Times New Roman" w:hAnsi="Times New Roman" w:cs="Times New Roman"/>
                <w:sz w:val="24"/>
                <w:szCs w:val="24"/>
              </w:rPr>
              <w:t xml:space="preserve"> </w:t>
            </w:r>
          </w:p>
        </w:tc>
      </w:tr>
      <w:tr w:rsidR="009272A0" w:rsidRPr="009272A0" w:rsidTr="00CE2DEF">
        <w:tc>
          <w:tcPr>
            <w:tcW w:w="2610" w:type="dxa"/>
            <w:shd w:val="clear" w:color="auto" w:fill="auto"/>
          </w:tcPr>
          <w:p w:rsidR="009272A0" w:rsidRPr="005E3982" w:rsidRDefault="009272A0" w:rsidP="00B21032">
            <w:pPr>
              <w:tabs>
                <w:tab w:val="left" w:pos="1080"/>
              </w:tabs>
              <w:spacing w:after="0" w:line="240" w:lineRule="auto"/>
              <w:contextualSpacing/>
              <w:rPr>
                <w:rFonts w:ascii="Times New Roman" w:hAnsi="Times New Roman" w:cs="Times New Roman"/>
                <w:sz w:val="24"/>
                <w:szCs w:val="24"/>
              </w:rPr>
            </w:pPr>
            <w:r w:rsidRPr="005E3982">
              <w:rPr>
                <w:rFonts w:ascii="Times New Roman" w:hAnsi="Times New Roman" w:cs="Times New Roman"/>
                <w:sz w:val="24"/>
                <w:szCs w:val="24"/>
              </w:rPr>
              <w:t>March</w:t>
            </w:r>
          </w:p>
        </w:tc>
        <w:tc>
          <w:tcPr>
            <w:tcW w:w="2340" w:type="dxa"/>
            <w:shd w:val="clear" w:color="auto" w:fill="auto"/>
          </w:tcPr>
          <w:p w:rsidR="009272A0" w:rsidRPr="005E3982" w:rsidRDefault="00EC7206" w:rsidP="00566583">
            <w:pPr>
              <w:tabs>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072C10">
              <w:rPr>
                <w:rFonts w:ascii="Times New Roman" w:hAnsi="Times New Roman" w:cs="Times New Roman"/>
                <w:sz w:val="24"/>
                <w:szCs w:val="24"/>
              </w:rPr>
              <w:t>0</w:t>
            </w:r>
            <w:r>
              <w:rPr>
                <w:rFonts w:ascii="Times New Roman" w:hAnsi="Times New Roman" w:cs="Times New Roman"/>
                <w:sz w:val="24"/>
                <w:szCs w:val="24"/>
              </w:rPr>
              <w:t>5/2016</w:t>
            </w:r>
          </w:p>
        </w:tc>
        <w:tc>
          <w:tcPr>
            <w:tcW w:w="2700" w:type="dxa"/>
            <w:shd w:val="clear" w:color="auto" w:fill="auto"/>
          </w:tcPr>
          <w:p w:rsidR="009272A0" w:rsidRPr="005E3982" w:rsidRDefault="00EC7206" w:rsidP="00B21032">
            <w:pPr>
              <w:tabs>
                <w:tab w:val="left" w:pos="108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1,072,330.32</w:t>
            </w:r>
            <w:r w:rsidR="009272A0" w:rsidRPr="005E3982">
              <w:rPr>
                <w:rFonts w:ascii="Times New Roman" w:hAnsi="Times New Roman" w:cs="Times New Roman"/>
                <w:sz w:val="24"/>
                <w:szCs w:val="24"/>
              </w:rPr>
              <w:t xml:space="preserve"> </w:t>
            </w:r>
          </w:p>
        </w:tc>
      </w:tr>
      <w:tr w:rsidR="009272A0" w:rsidRPr="009272A0" w:rsidTr="00CE2DEF">
        <w:tc>
          <w:tcPr>
            <w:tcW w:w="2610" w:type="dxa"/>
            <w:shd w:val="clear" w:color="auto" w:fill="auto"/>
          </w:tcPr>
          <w:p w:rsidR="009272A0" w:rsidRPr="005E3982" w:rsidRDefault="009272A0" w:rsidP="00B21032">
            <w:pPr>
              <w:tabs>
                <w:tab w:val="left" w:pos="1080"/>
              </w:tabs>
              <w:spacing w:after="0" w:line="240" w:lineRule="auto"/>
              <w:contextualSpacing/>
              <w:rPr>
                <w:rFonts w:ascii="Times New Roman" w:hAnsi="Times New Roman" w:cs="Times New Roman"/>
                <w:sz w:val="24"/>
                <w:szCs w:val="24"/>
              </w:rPr>
            </w:pPr>
            <w:r w:rsidRPr="005E3982">
              <w:rPr>
                <w:rFonts w:ascii="Times New Roman" w:hAnsi="Times New Roman" w:cs="Times New Roman"/>
                <w:sz w:val="24"/>
                <w:szCs w:val="24"/>
              </w:rPr>
              <w:t>April</w:t>
            </w:r>
          </w:p>
        </w:tc>
        <w:tc>
          <w:tcPr>
            <w:tcW w:w="2340" w:type="dxa"/>
            <w:shd w:val="clear" w:color="auto" w:fill="auto"/>
          </w:tcPr>
          <w:p w:rsidR="009272A0" w:rsidRPr="005E3982" w:rsidRDefault="00EC7206" w:rsidP="00566583">
            <w:pPr>
              <w:tabs>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072C10">
              <w:rPr>
                <w:rFonts w:ascii="Times New Roman" w:hAnsi="Times New Roman" w:cs="Times New Roman"/>
                <w:sz w:val="24"/>
                <w:szCs w:val="24"/>
              </w:rPr>
              <w:t>0</w:t>
            </w:r>
            <w:r>
              <w:rPr>
                <w:rFonts w:ascii="Times New Roman" w:hAnsi="Times New Roman" w:cs="Times New Roman"/>
                <w:sz w:val="24"/>
                <w:szCs w:val="24"/>
              </w:rPr>
              <w:t>4/2016</w:t>
            </w:r>
          </w:p>
        </w:tc>
        <w:tc>
          <w:tcPr>
            <w:tcW w:w="2700" w:type="dxa"/>
            <w:shd w:val="clear" w:color="auto" w:fill="auto"/>
          </w:tcPr>
          <w:p w:rsidR="009272A0" w:rsidRPr="005E3982" w:rsidRDefault="00EC7206" w:rsidP="00B21032">
            <w:pPr>
              <w:tabs>
                <w:tab w:val="left" w:pos="108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1,113,767.87</w:t>
            </w:r>
            <w:r w:rsidR="009272A0" w:rsidRPr="005E3982">
              <w:rPr>
                <w:rFonts w:ascii="Times New Roman" w:hAnsi="Times New Roman" w:cs="Times New Roman"/>
                <w:sz w:val="24"/>
                <w:szCs w:val="24"/>
              </w:rPr>
              <w:t xml:space="preserve"> </w:t>
            </w:r>
          </w:p>
        </w:tc>
      </w:tr>
      <w:tr w:rsidR="009272A0" w:rsidRPr="009272A0" w:rsidTr="00CE2DEF">
        <w:tc>
          <w:tcPr>
            <w:tcW w:w="2610" w:type="dxa"/>
            <w:shd w:val="clear" w:color="auto" w:fill="auto"/>
          </w:tcPr>
          <w:p w:rsidR="009272A0" w:rsidRPr="005E3982" w:rsidRDefault="009272A0" w:rsidP="00B21032">
            <w:pPr>
              <w:tabs>
                <w:tab w:val="left" w:pos="1080"/>
              </w:tabs>
              <w:spacing w:after="0" w:line="240" w:lineRule="auto"/>
              <w:contextualSpacing/>
              <w:rPr>
                <w:rFonts w:ascii="Times New Roman" w:hAnsi="Times New Roman" w:cs="Times New Roman"/>
                <w:sz w:val="24"/>
                <w:szCs w:val="24"/>
              </w:rPr>
            </w:pPr>
            <w:r w:rsidRPr="005E3982">
              <w:rPr>
                <w:rFonts w:ascii="Times New Roman" w:hAnsi="Times New Roman" w:cs="Times New Roman"/>
                <w:sz w:val="24"/>
                <w:szCs w:val="24"/>
              </w:rPr>
              <w:t>May</w:t>
            </w:r>
          </w:p>
        </w:tc>
        <w:tc>
          <w:tcPr>
            <w:tcW w:w="2340" w:type="dxa"/>
            <w:shd w:val="clear" w:color="auto" w:fill="auto"/>
          </w:tcPr>
          <w:p w:rsidR="009272A0" w:rsidRPr="005E3982" w:rsidRDefault="00EC7206" w:rsidP="00566583">
            <w:pPr>
              <w:tabs>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r w:rsidR="00072C10">
              <w:rPr>
                <w:rFonts w:ascii="Times New Roman" w:hAnsi="Times New Roman" w:cs="Times New Roman"/>
                <w:sz w:val="24"/>
                <w:szCs w:val="24"/>
              </w:rPr>
              <w:t>0</w:t>
            </w:r>
            <w:r>
              <w:rPr>
                <w:rFonts w:ascii="Times New Roman" w:hAnsi="Times New Roman" w:cs="Times New Roman"/>
                <w:sz w:val="24"/>
                <w:szCs w:val="24"/>
              </w:rPr>
              <w:t>2/2016</w:t>
            </w:r>
          </w:p>
        </w:tc>
        <w:tc>
          <w:tcPr>
            <w:tcW w:w="2700" w:type="dxa"/>
            <w:shd w:val="clear" w:color="auto" w:fill="auto"/>
          </w:tcPr>
          <w:p w:rsidR="009272A0" w:rsidRPr="005E3982" w:rsidRDefault="00EC7206" w:rsidP="00B21032">
            <w:pPr>
              <w:tabs>
                <w:tab w:val="left" w:pos="108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1,563,041.45</w:t>
            </w:r>
            <w:r w:rsidR="009272A0" w:rsidRPr="005E3982">
              <w:rPr>
                <w:rFonts w:ascii="Times New Roman" w:hAnsi="Times New Roman" w:cs="Times New Roman"/>
                <w:sz w:val="24"/>
                <w:szCs w:val="24"/>
              </w:rPr>
              <w:t xml:space="preserve"> </w:t>
            </w:r>
          </w:p>
        </w:tc>
      </w:tr>
      <w:tr w:rsidR="009272A0" w:rsidRPr="009272A0" w:rsidTr="00CE2DEF">
        <w:tc>
          <w:tcPr>
            <w:tcW w:w="2610" w:type="dxa"/>
            <w:shd w:val="clear" w:color="auto" w:fill="auto"/>
          </w:tcPr>
          <w:p w:rsidR="009272A0" w:rsidRPr="005E3982" w:rsidRDefault="009272A0" w:rsidP="00B21032">
            <w:pPr>
              <w:tabs>
                <w:tab w:val="left" w:pos="1080"/>
              </w:tabs>
              <w:spacing w:after="0" w:line="240" w:lineRule="auto"/>
              <w:contextualSpacing/>
              <w:rPr>
                <w:rFonts w:ascii="Times New Roman" w:hAnsi="Times New Roman" w:cs="Times New Roman"/>
                <w:sz w:val="24"/>
                <w:szCs w:val="24"/>
              </w:rPr>
            </w:pPr>
            <w:r w:rsidRPr="005E3982">
              <w:rPr>
                <w:rFonts w:ascii="Times New Roman" w:hAnsi="Times New Roman" w:cs="Times New Roman"/>
                <w:sz w:val="24"/>
                <w:szCs w:val="24"/>
              </w:rPr>
              <w:t>June</w:t>
            </w:r>
          </w:p>
        </w:tc>
        <w:tc>
          <w:tcPr>
            <w:tcW w:w="2340" w:type="dxa"/>
            <w:shd w:val="clear" w:color="auto" w:fill="auto"/>
          </w:tcPr>
          <w:p w:rsidR="009272A0" w:rsidRPr="005E3982" w:rsidRDefault="009272A0" w:rsidP="00566583">
            <w:pPr>
              <w:tabs>
                <w:tab w:val="left" w:pos="1080"/>
              </w:tabs>
              <w:spacing w:after="0" w:line="240" w:lineRule="auto"/>
              <w:contextualSpacing/>
              <w:jc w:val="center"/>
              <w:rPr>
                <w:rFonts w:ascii="Times New Roman" w:hAnsi="Times New Roman" w:cs="Times New Roman"/>
                <w:sz w:val="24"/>
                <w:szCs w:val="24"/>
              </w:rPr>
            </w:pPr>
            <w:r w:rsidRPr="005E3982">
              <w:rPr>
                <w:rFonts w:ascii="Times New Roman" w:hAnsi="Times New Roman" w:cs="Times New Roman"/>
                <w:sz w:val="24"/>
                <w:szCs w:val="24"/>
              </w:rPr>
              <w:t>7/</w:t>
            </w:r>
            <w:r w:rsidR="00072C10">
              <w:rPr>
                <w:rFonts w:ascii="Times New Roman" w:hAnsi="Times New Roman" w:cs="Times New Roman"/>
                <w:sz w:val="24"/>
                <w:szCs w:val="24"/>
              </w:rPr>
              <w:t>0</w:t>
            </w:r>
            <w:r w:rsidRPr="005E3982">
              <w:rPr>
                <w:rFonts w:ascii="Times New Roman" w:hAnsi="Times New Roman" w:cs="Times New Roman"/>
                <w:sz w:val="24"/>
                <w:szCs w:val="24"/>
              </w:rPr>
              <w:t>8</w:t>
            </w:r>
            <w:r w:rsidR="00EC7206">
              <w:rPr>
                <w:rFonts w:ascii="Times New Roman" w:hAnsi="Times New Roman" w:cs="Times New Roman"/>
                <w:sz w:val="24"/>
                <w:szCs w:val="24"/>
              </w:rPr>
              <w:t>/2016</w:t>
            </w:r>
          </w:p>
        </w:tc>
        <w:tc>
          <w:tcPr>
            <w:tcW w:w="2700" w:type="dxa"/>
            <w:shd w:val="clear" w:color="auto" w:fill="auto"/>
          </w:tcPr>
          <w:p w:rsidR="009272A0" w:rsidRPr="005E3982" w:rsidRDefault="00EC7206" w:rsidP="00B21032">
            <w:pPr>
              <w:tabs>
                <w:tab w:val="left" w:pos="108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1,070,553.2</w:t>
            </w:r>
            <w:r w:rsidR="009272A0" w:rsidRPr="005E3982">
              <w:rPr>
                <w:rFonts w:ascii="Times New Roman" w:hAnsi="Times New Roman" w:cs="Times New Roman"/>
                <w:sz w:val="24"/>
                <w:szCs w:val="24"/>
              </w:rPr>
              <w:t xml:space="preserve">5 </w:t>
            </w:r>
          </w:p>
        </w:tc>
      </w:tr>
      <w:tr w:rsidR="009272A0" w:rsidRPr="009272A0" w:rsidTr="00CE2DEF">
        <w:tc>
          <w:tcPr>
            <w:tcW w:w="2610" w:type="dxa"/>
            <w:shd w:val="clear" w:color="auto" w:fill="auto"/>
          </w:tcPr>
          <w:p w:rsidR="009272A0" w:rsidRPr="005E3982" w:rsidRDefault="009272A0" w:rsidP="00B21032">
            <w:pPr>
              <w:tabs>
                <w:tab w:val="left" w:pos="1080"/>
              </w:tabs>
              <w:spacing w:after="0" w:line="240" w:lineRule="auto"/>
              <w:contextualSpacing/>
              <w:rPr>
                <w:rFonts w:ascii="Times New Roman" w:hAnsi="Times New Roman" w:cs="Times New Roman"/>
                <w:sz w:val="24"/>
                <w:szCs w:val="24"/>
              </w:rPr>
            </w:pPr>
            <w:r w:rsidRPr="005E3982">
              <w:rPr>
                <w:rFonts w:ascii="Times New Roman" w:hAnsi="Times New Roman" w:cs="Times New Roman"/>
                <w:sz w:val="24"/>
                <w:szCs w:val="24"/>
              </w:rPr>
              <w:t>July</w:t>
            </w:r>
          </w:p>
        </w:tc>
        <w:tc>
          <w:tcPr>
            <w:tcW w:w="2340" w:type="dxa"/>
            <w:shd w:val="clear" w:color="auto" w:fill="auto"/>
          </w:tcPr>
          <w:p w:rsidR="009272A0" w:rsidRPr="005E3982" w:rsidRDefault="00EC7206" w:rsidP="00566583">
            <w:pPr>
              <w:tabs>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r w:rsidR="00072C10">
              <w:rPr>
                <w:rFonts w:ascii="Times New Roman" w:hAnsi="Times New Roman" w:cs="Times New Roman"/>
                <w:sz w:val="24"/>
                <w:szCs w:val="24"/>
              </w:rPr>
              <w:t>0</w:t>
            </w:r>
            <w:r>
              <w:rPr>
                <w:rFonts w:ascii="Times New Roman" w:hAnsi="Times New Roman" w:cs="Times New Roman"/>
                <w:sz w:val="24"/>
                <w:szCs w:val="24"/>
              </w:rPr>
              <w:t>2/2016</w:t>
            </w:r>
          </w:p>
        </w:tc>
        <w:tc>
          <w:tcPr>
            <w:tcW w:w="2700" w:type="dxa"/>
            <w:shd w:val="clear" w:color="auto" w:fill="auto"/>
          </w:tcPr>
          <w:p w:rsidR="009272A0" w:rsidRPr="005E3982" w:rsidRDefault="00EC7206" w:rsidP="00B21032">
            <w:pPr>
              <w:tabs>
                <w:tab w:val="left" w:pos="108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1,010,862.28</w:t>
            </w:r>
            <w:r w:rsidR="009272A0" w:rsidRPr="005E3982">
              <w:rPr>
                <w:rFonts w:ascii="Times New Roman" w:hAnsi="Times New Roman" w:cs="Times New Roman"/>
                <w:sz w:val="24"/>
                <w:szCs w:val="24"/>
              </w:rPr>
              <w:t xml:space="preserve"> </w:t>
            </w:r>
          </w:p>
        </w:tc>
      </w:tr>
      <w:tr w:rsidR="009272A0" w:rsidRPr="009272A0" w:rsidTr="00CE2DEF">
        <w:tc>
          <w:tcPr>
            <w:tcW w:w="2610" w:type="dxa"/>
            <w:shd w:val="clear" w:color="auto" w:fill="auto"/>
          </w:tcPr>
          <w:p w:rsidR="009272A0" w:rsidRPr="005E3982" w:rsidRDefault="009272A0" w:rsidP="00B21032">
            <w:pPr>
              <w:tabs>
                <w:tab w:val="left" w:pos="1080"/>
              </w:tabs>
              <w:spacing w:after="0" w:line="240" w:lineRule="auto"/>
              <w:contextualSpacing/>
              <w:rPr>
                <w:rFonts w:ascii="Times New Roman" w:hAnsi="Times New Roman" w:cs="Times New Roman"/>
                <w:sz w:val="24"/>
                <w:szCs w:val="24"/>
              </w:rPr>
            </w:pPr>
            <w:r w:rsidRPr="005E3982">
              <w:rPr>
                <w:rFonts w:ascii="Times New Roman" w:hAnsi="Times New Roman" w:cs="Times New Roman"/>
                <w:sz w:val="24"/>
                <w:szCs w:val="24"/>
              </w:rPr>
              <w:t>August</w:t>
            </w:r>
          </w:p>
        </w:tc>
        <w:tc>
          <w:tcPr>
            <w:tcW w:w="2340" w:type="dxa"/>
            <w:shd w:val="clear" w:color="auto" w:fill="auto"/>
          </w:tcPr>
          <w:p w:rsidR="009272A0" w:rsidRPr="005E3982" w:rsidRDefault="00EC7206" w:rsidP="00566583">
            <w:pPr>
              <w:tabs>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r w:rsidR="00072C10">
              <w:rPr>
                <w:rFonts w:ascii="Times New Roman" w:hAnsi="Times New Roman" w:cs="Times New Roman"/>
                <w:sz w:val="24"/>
                <w:szCs w:val="24"/>
              </w:rPr>
              <w:t>0</w:t>
            </w:r>
            <w:r>
              <w:rPr>
                <w:rFonts w:ascii="Times New Roman" w:hAnsi="Times New Roman" w:cs="Times New Roman"/>
                <w:sz w:val="24"/>
                <w:szCs w:val="24"/>
              </w:rPr>
              <w:t>5/2016</w:t>
            </w:r>
          </w:p>
        </w:tc>
        <w:tc>
          <w:tcPr>
            <w:tcW w:w="2700" w:type="dxa"/>
            <w:shd w:val="clear" w:color="auto" w:fill="auto"/>
          </w:tcPr>
          <w:p w:rsidR="009272A0" w:rsidRPr="005E3982" w:rsidRDefault="00EC7206" w:rsidP="00B21032">
            <w:pPr>
              <w:tabs>
                <w:tab w:val="left" w:pos="108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1,011,111.05</w:t>
            </w:r>
            <w:r w:rsidR="009272A0" w:rsidRPr="005E3982">
              <w:rPr>
                <w:rFonts w:ascii="Times New Roman" w:hAnsi="Times New Roman" w:cs="Times New Roman"/>
                <w:sz w:val="24"/>
                <w:szCs w:val="24"/>
              </w:rPr>
              <w:t xml:space="preserve"> </w:t>
            </w:r>
          </w:p>
        </w:tc>
      </w:tr>
      <w:tr w:rsidR="009272A0" w:rsidRPr="009272A0" w:rsidTr="00CE2DEF">
        <w:tc>
          <w:tcPr>
            <w:tcW w:w="2610" w:type="dxa"/>
            <w:shd w:val="clear" w:color="auto" w:fill="auto"/>
          </w:tcPr>
          <w:p w:rsidR="009272A0" w:rsidRPr="005E3982" w:rsidRDefault="009272A0" w:rsidP="00B21032">
            <w:pPr>
              <w:tabs>
                <w:tab w:val="left" w:pos="1080"/>
              </w:tabs>
              <w:spacing w:after="0" w:line="240" w:lineRule="auto"/>
              <w:contextualSpacing/>
              <w:rPr>
                <w:rFonts w:ascii="Times New Roman" w:hAnsi="Times New Roman" w:cs="Times New Roman"/>
                <w:sz w:val="24"/>
                <w:szCs w:val="24"/>
              </w:rPr>
            </w:pPr>
            <w:r w:rsidRPr="005E3982">
              <w:rPr>
                <w:rFonts w:ascii="Times New Roman" w:hAnsi="Times New Roman" w:cs="Times New Roman"/>
                <w:sz w:val="24"/>
                <w:szCs w:val="24"/>
              </w:rPr>
              <w:t>September</w:t>
            </w:r>
          </w:p>
        </w:tc>
        <w:tc>
          <w:tcPr>
            <w:tcW w:w="2340" w:type="dxa"/>
            <w:shd w:val="clear" w:color="auto" w:fill="auto"/>
          </w:tcPr>
          <w:p w:rsidR="009272A0" w:rsidRPr="005E3982" w:rsidRDefault="00EC7206" w:rsidP="00566583">
            <w:pPr>
              <w:tabs>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9/28/2016</w:t>
            </w:r>
          </w:p>
        </w:tc>
        <w:tc>
          <w:tcPr>
            <w:tcW w:w="2700" w:type="dxa"/>
            <w:shd w:val="clear" w:color="auto" w:fill="auto"/>
          </w:tcPr>
          <w:p w:rsidR="009272A0" w:rsidRPr="005E3982" w:rsidRDefault="00C416B5" w:rsidP="00B21032">
            <w:pPr>
              <w:tabs>
                <w:tab w:val="left" w:pos="108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EC7206">
              <w:rPr>
                <w:rFonts w:ascii="Times New Roman" w:hAnsi="Times New Roman" w:cs="Times New Roman"/>
                <w:sz w:val="24"/>
                <w:szCs w:val="24"/>
              </w:rPr>
              <w:t xml:space="preserve">    969,009.21</w:t>
            </w:r>
            <w:r w:rsidR="009272A0" w:rsidRPr="005E3982">
              <w:rPr>
                <w:rFonts w:ascii="Times New Roman" w:hAnsi="Times New Roman" w:cs="Times New Roman"/>
                <w:sz w:val="24"/>
                <w:szCs w:val="24"/>
              </w:rPr>
              <w:t xml:space="preserve"> </w:t>
            </w:r>
          </w:p>
        </w:tc>
      </w:tr>
      <w:tr w:rsidR="009272A0" w:rsidRPr="009272A0" w:rsidTr="00CE2DEF">
        <w:tc>
          <w:tcPr>
            <w:tcW w:w="2610" w:type="dxa"/>
            <w:shd w:val="clear" w:color="auto" w:fill="auto"/>
          </w:tcPr>
          <w:p w:rsidR="009272A0" w:rsidRPr="005E3982" w:rsidRDefault="009272A0" w:rsidP="00B21032">
            <w:pPr>
              <w:tabs>
                <w:tab w:val="left" w:pos="1080"/>
              </w:tabs>
              <w:spacing w:after="0" w:line="240" w:lineRule="auto"/>
              <w:contextualSpacing/>
              <w:rPr>
                <w:rFonts w:ascii="Times New Roman" w:hAnsi="Times New Roman" w:cs="Times New Roman"/>
                <w:sz w:val="24"/>
                <w:szCs w:val="24"/>
              </w:rPr>
            </w:pPr>
            <w:r w:rsidRPr="005E3982">
              <w:rPr>
                <w:rFonts w:ascii="Times New Roman" w:hAnsi="Times New Roman" w:cs="Times New Roman"/>
                <w:sz w:val="24"/>
                <w:szCs w:val="24"/>
              </w:rPr>
              <w:t>October</w:t>
            </w:r>
          </w:p>
        </w:tc>
        <w:tc>
          <w:tcPr>
            <w:tcW w:w="2340" w:type="dxa"/>
            <w:shd w:val="clear" w:color="auto" w:fill="auto"/>
          </w:tcPr>
          <w:p w:rsidR="009272A0" w:rsidRPr="005E3982" w:rsidRDefault="00EC7206" w:rsidP="00566583">
            <w:pPr>
              <w:tabs>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r w:rsidR="00072C10">
              <w:rPr>
                <w:rFonts w:ascii="Times New Roman" w:hAnsi="Times New Roman" w:cs="Times New Roman"/>
                <w:sz w:val="24"/>
                <w:szCs w:val="24"/>
              </w:rPr>
              <w:t>0</w:t>
            </w:r>
            <w:r>
              <w:rPr>
                <w:rFonts w:ascii="Times New Roman" w:hAnsi="Times New Roman" w:cs="Times New Roman"/>
                <w:sz w:val="24"/>
                <w:szCs w:val="24"/>
              </w:rPr>
              <w:t>8/2016</w:t>
            </w:r>
          </w:p>
        </w:tc>
        <w:tc>
          <w:tcPr>
            <w:tcW w:w="2700" w:type="dxa"/>
            <w:shd w:val="clear" w:color="auto" w:fill="auto"/>
          </w:tcPr>
          <w:p w:rsidR="009272A0" w:rsidRPr="005E3982" w:rsidRDefault="00EC7206" w:rsidP="00B21032">
            <w:pPr>
              <w:tabs>
                <w:tab w:val="left" w:pos="108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1,144,960.49</w:t>
            </w:r>
            <w:r w:rsidR="009272A0" w:rsidRPr="005E3982">
              <w:rPr>
                <w:rFonts w:ascii="Times New Roman" w:hAnsi="Times New Roman" w:cs="Times New Roman"/>
                <w:sz w:val="24"/>
                <w:szCs w:val="24"/>
              </w:rPr>
              <w:t xml:space="preserve"> </w:t>
            </w:r>
          </w:p>
        </w:tc>
      </w:tr>
      <w:tr w:rsidR="009272A0" w:rsidRPr="009272A0" w:rsidTr="00CE2DEF">
        <w:tc>
          <w:tcPr>
            <w:tcW w:w="2610" w:type="dxa"/>
            <w:tcBorders>
              <w:bottom w:val="nil"/>
            </w:tcBorders>
            <w:shd w:val="clear" w:color="auto" w:fill="auto"/>
          </w:tcPr>
          <w:p w:rsidR="009272A0" w:rsidRPr="005E3982" w:rsidRDefault="009272A0" w:rsidP="00B21032">
            <w:pPr>
              <w:tabs>
                <w:tab w:val="left" w:pos="1080"/>
              </w:tabs>
              <w:spacing w:after="0" w:line="240" w:lineRule="auto"/>
              <w:contextualSpacing/>
              <w:rPr>
                <w:rFonts w:ascii="Times New Roman" w:hAnsi="Times New Roman" w:cs="Times New Roman"/>
                <w:sz w:val="24"/>
                <w:szCs w:val="24"/>
              </w:rPr>
            </w:pPr>
            <w:r w:rsidRPr="005E3982">
              <w:rPr>
                <w:rFonts w:ascii="Times New Roman" w:hAnsi="Times New Roman" w:cs="Times New Roman"/>
                <w:sz w:val="24"/>
                <w:szCs w:val="24"/>
              </w:rPr>
              <w:t>November</w:t>
            </w:r>
          </w:p>
        </w:tc>
        <w:tc>
          <w:tcPr>
            <w:tcW w:w="2340" w:type="dxa"/>
            <w:tcBorders>
              <w:bottom w:val="nil"/>
            </w:tcBorders>
            <w:shd w:val="clear" w:color="auto" w:fill="auto"/>
          </w:tcPr>
          <w:p w:rsidR="009272A0" w:rsidRPr="005E3982" w:rsidRDefault="00EC7206" w:rsidP="00566583">
            <w:pPr>
              <w:tabs>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r w:rsidR="00072C10">
              <w:rPr>
                <w:rFonts w:ascii="Times New Roman" w:hAnsi="Times New Roman" w:cs="Times New Roman"/>
                <w:sz w:val="24"/>
                <w:szCs w:val="24"/>
              </w:rPr>
              <w:t>0</w:t>
            </w:r>
            <w:r>
              <w:rPr>
                <w:rFonts w:ascii="Times New Roman" w:hAnsi="Times New Roman" w:cs="Times New Roman"/>
                <w:sz w:val="24"/>
                <w:szCs w:val="24"/>
              </w:rPr>
              <w:t>7/2016</w:t>
            </w:r>
          </w:p>
        </w:tc>
        <w:tc>
          <w:tcPr>
            <w:tcW w:w="2700" w:type="dxa"/>
            <w:tcBorders>
              <w:bottom w:val="nil"/>
            </w:tcBorders>
            <w:shd w:val="clear" w:color="auto" w:fill="auto"/>
          </w:tcPr>
          <w:p w:rsidR="009272A0" w:rsidRPr="005E3982" w:rsidRDefault="00EC7206" w:rsidP="00B21032">
            <w:pPr>
              <w:tabs>
                <w:tab w:val="left" w:pos="108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1,1</w:t>
            </w:r>
            <w:r w:rsidR="009272A0" w:rsidRPr="005E3982">
              <w:rPr>
                <w:rFonts w:ascii="Times New Roman" w:hAnsi="Times New Roman" w:cs="Times New Roman"/>
                <w:sz w:val="24"/>
                <w:szCs w:val="24"/>
              </w:rPr>
              <w:t>4</w:t>
            </w:r>
            <w:r>
              <w:rPr>
                <w:rFonts w:ascii="Times New Roman" w:hAnsi="Times New Roman" w:cs="Times New Roman"/>
                <w:sz w:val="24"/>
                <w:szCs w:val="24"/>
              </w:rPr>
              <w:t>5,656.35</w:t>
            </w:r>
            <w:r w:rsidR="009272A0" w:rsidRPr="005E3982">
              <w:rPr>
                <w:rFonts w:ascii="Times New Roman" w:hAnsi="Times New Roman" w:cs="Times New Roman"/>
                <w:sz w:val="24"/>
                <w:szCs w:val="24"/>
              </w:rPr>
              <w:t xml:space="preserve"> </w:t>
            </w:r>
          </w:p>
        </w:tc>
      </w:tr>
      <w:tr w:rsidR="009272A0" w:rsidRPr="009272A0" w:rsidTr="00CE2DEF">
        <w:tc>
          <w:tcPr>
            <w:tcW w:w="2610" w:type="dxa"/>
            <w:tcBorders>
              <w:top w:val="nil"/>
              <w:bottom w:val="single" w:sz="4" w:space="0" w:color="000000"/>
            </w:tcBorders>
            <w:shd w:val="clear" w:color="auto" w:fill="auto"/>
          </w:tcPr>
          <w:p w:rsidR="009272A0" w:rsidRPr="005E3982" w:rsidRDefault="009272A0" w:rsidP="00B21032">
            <w:pPr>
              <w:tabs>
                <w:tab w:val="left" w:pos="1080"/>
              </w:tabs>
              <w:spacing w:after="0" w:line="240" w:lineRule="auto"/>
              <w:contextualSpacing/>
              <w:rPr>
                <w:rFonts w:ascii="Times New Roman" w:hAnsi="Times New Roman" w:cs="Times New Roman"/>
                <w:sz w:val="24"/>
                <w:szCs w:val="24"/>
              </w:rPr>
            </w:pPr>
            <w:r w:rsidRPr="005E3982">
              <w:rPr>
                <w:rFonts w:ascii="Times New Roman" w:hAnsi="Times New Roman" w:cs="Times New Roman"/>
                <w:sz w:val="24"/>
                <w:szCs w:val="24"/>
              </w:rPr>
              <w:t>December</w:t>
            </w:r>
          </w:p>
        </w:tc>
        <w:tc>
          <w:tcPr>
            <w:tcW w:w="2340" w:type="dxa"/>
            <w:tcBorders>
              <w:top w:val="nil"/>
              <w:bottom w:val="single" w:sz="4" w:space="0" w:color="000000"/>
            </w:tcBorders>
            <w:shd w:val="clear" w:color="auto" w:fill="auto"/>
          </w:tcPr>
          <w:p w:rsidR="009272A0" w:rsidRPr="005E3982" w:rsidRDefault="009272A0" w:rsidP="00566583">
            <w:pPr>
              <w:tabs>
                <w:tab w:val="left" w:pos="1080"/>
              </w:tabs>
              <w:spacing w:after="0" w:line="240" w:lineRule="auto"/>
              <w:contextualSpacing/>
              <w:jc w:val="center"/>
              <w:rPr>
                <w:rFonts w:ascii="Times New Roman" w:hAnsi="Times New Roman" w:cs="Times New Roman"/>
                <w:sz w:val="24"/>
                <w:szCs w:val="24"/>
              </w:rPr>
            </w:pPr>
            <w:r w:rsidRPr="005E3982">
              <w:rPr>
                <w:rFonts w:ascii="Times New Roman" w:hAnsi="Times New Roman" w:cs="Times New Roman"/>
                <w:sz w:val="24"/>
                <w:szCs w:val="24"/>
              </w:rPr>
              <w:t>1/</w:t>
            </w:r>
            <w:r w:rsidR="00072C10">
              <w:rPr>
                <w:rFonts w:ascii="Times New Roman" w:hAnsi="Times New Roman" w:cs="Times New Roman"/>
                <w:sz w:val="24"/>
                <w:szCs w:val="24"/>
              </w:rPr>
              <w:t>0</w:t>
            </w:r>
            <w:r w:rsidRPr="005E3982">
              <w:rPr>
                <w:rFonts w:ascii="Times New Roman" w:hAnsi="Times New Roman" w:cs="Times New Roman"/>
                <w:sz w:val="24"/>
                <w:szCs w:val="24"/>
              </w:rPr>
              <w:t>5/201</w:t>
            </w:r>
            <w:r w:rsidR="00EC7206">
              <w:rPr>
                <w:rFonts w:ascii="Times New Roman" w:hAnsi="Times New Roman" w:cs="Times New Roman"/>
                <w:sz w:val="24"/>
                <w:szCs w:val="24"/>
              </w:rPr>
              <w:t>7</w:t>
            </w:r>
          </w:p>
        </w:tc>
        <w:tc>
          <w:tcPr>
            <w:tcW w:w="2700" w:type="dxa"/>
            <w:tcBorders>
              <w:top w:val="nil"/>
              <w:bottom w:val="single" w:sz="4" w:space="0" w:color="000000"/>
            </w:tcBorders>
            <w:shd w:val="clear" w:color="auto" w:fill="auto"/>
          </w:tcPr>
          <w:p w:rsidR="009272A0" w:rsidRPr="005E3982" w:rsidRDefault="00EC7206" w:rsidP="00B21032">
            <w:pPr>
              <w:tabs>
                <w:tab w:val="left" w:pos="108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1,123,582.</w:t>
            </w:r>
            <w:r w:rsidR="009272A0" w:rsidRPr="005E3982">
              <w:rPr>
                <w:rFonts w:ascii="Times New Roman" w:hAnsi="Times New Roman" w:cs="Times New Roman"/>
                <w:sz w:val="24"/>
                <w:szCs w:val="24"/>
              </w:rPr>
              <w:t>8</w:t>
            </w:r>
            <w:r>
              <w:rPr>
                <w:rFonts w:ascii="Times New Roman" w:hAnsi="Times New Roman" w:cs="Times New Roman"/>
                <w:sz w:val="24"/>
                <w:szCs w:val="24"/>
              </w:rPr>
              <w:t>6</w:t>
            </w:r>
            <w:r w:rsidR="009272A0" w:rsidRPr="005E3982">
              <w:rPr>
                <w:rFonts w:ascii="Times New Roman" w:hAnsi="Times New Roman" w:cs="Times New Roman"/>
                <w:sz w:val="24"/>
                <w:szCs w:val="24"/>
              </w:rPr>
              <w:t xml:space="preserve"> </w:t>
            </w:r>
          </w:p>
        </w:tc>
      </w:tr>
      <w:tr w:rsidR="009272A0" w:rsidRPr="009272A0" w:rsidTr="00CE2DEF">
        <w:tc>
          <w:tcPr>
            <w:tcW w:w="2610" w:type="dxa"/>
            <w:tcBorders>
              <w:top w:val="single" w:sz="4" w:space="0" w:color="000000"/>
            </w:tcBorders>
            <w:shd w:val="clear" w:color="auto" w:fill="auto"/>
          </w:tcPr>
          <w:p w:rsidR="009272A0" w:rsidRPr="005E3982" w:rsidRDefault="005E3982" w:rsidP="00B5342C">
            <w:pPr>
              <w:tabs>
                <w:tab w:val="left" w:pos="1080"/>
              </w:tabs>
              <w:spacing w:after="0" w:line="240" w:lineRule="auto"/>
              <w:contextualSpacing/>
              <w:rPr>
                <w:rFonts w:ascii="Times New Roman" w:hAnsi="Times New Roman" w:cs="Times New Roman"/>
                <w:b/>
                <w:sz w:val="24"/>
                <w:szCs w:val="24"/>
              </w:rPr>
            </w:pPr>
            <w:r w:rsidRPr="005E3982">
              <w:rPr>
                <w:rFonts w:ascii="Times New Roman" w:hAnsi="Times New Roman" w:cs="Times New Roman"/>
                <w:b/>
                <w:sz w:val="24"/>
                <w:szCs w:val="24"/>
              </w:rPr>
              <w:t>T</w:t>
            </w:r>
            <w:r w:rsidR="009656C4">
              <w:rPr>
                <w:rFonts w:ascii="Times New Roman" w:hAnsi="Times New Roman" w:cs="Times New Roman"/>
                <w:b/>
                <w:sz w:val="24"/>
                <w:szCs w:val="24"/>
              </w:rPr>
              <w:t>otal</w:t>
            </w:r>
          </w:p>
        </w:tc>
        <w:tc>
          <w:tcPr>
            <w:tcW w:w="2340" w:type="dxa"/>
            <w:tcBorders>
              <w:top w:val="single" w:sz="4" w:space="0" w:color="000000"/>
            </w:tcBorders>
            <w:shd w:val="clear" w:color="auto" w:fill="auto"/>
          </w:tcPr>
          <w:p w:rsidR="009272A0" w:rsidRPr="005E3982" w:rsidRDefault="009272A0" w:rsidP="00B21032">
            <w:pPr>
              <w:tabs>
                <w:tab w:val="left" w:pos="1080"/>
              </w:tabs>
              <w:spacing w:after="0" w:line="240" w:lineRule="auto"/>
              <w:contextualSpacing/>
              <w:jc w:val="right"/>
              <w:rPr>
                <w:rFonts w:ascii="Times New Roman" w:hAnsi="Times New Roman" w:cs="Times New Roman"/>
                <w:sz w:val="24"/>
                <w:szCs w:val="24"/>
              </w:rPr>
            </w:pPr>
          </w:p>
        </w:tc>
        <w:tc>
          <w:tcPr>
            <w:tcW w:w="2700" w:type="dxa"/>
            <w:tcBorders>
              <w:top w:val="single" w:sz="4" w:space="0" w:color="000000"/>
            </w:tcBorders>
            <w:shd w:val="clear" w:color="auto" w:fill="auto"/>
          </w:tcPr>
          <w:p w:rsidR="009272A0" w:rsidRPr="005E3982" w:rsidRDefault="009656C4" w:rsidP="00B21032">
            <w:pPr>
              <w:tabs>
                <w:tab w:val="left" w:pos="1080"/>
              </w:tabs>
              <w:spacing w:after="0" w:line="240" w:lineRule="auto"/>
              <w:contextualSpacing/>
              <w:jc w:val="right"/>
              <w:rPr>
                <w:rFonts w:ascii="Times New Roman" w:hAnsi="Times New Roman" w:cs="Times New Roman"/>
                <w:b/>
                <w:sz w:val="24"/>
                <w:szCs w:val="24"/>
              </w:rPr>
            </w:pPr>
            <w:r w:rsidRPr="00F833D2">
              <w:rPr>
                <w:rFonts w:ascii="Times New Roman" w:hAnsi="Times New Roman" w:cs="Times New Roman"/>
                <w:b/>
                <w:dstrike/>
                <w:sz w:val="24"/>
                <w:szCs w:val="24"/>
              </w:rPr>
              <w:t>P</w:t>
            </w:r>
            <w:r w:rsidR="00EC7206">
              <w:rPr>
                <w:rFonts w:ascii="Times New Roman" w:hAnsi="Times New Roman" w:cs="Times New Roman"/>
                <w:b/>
                <w:sz w:val="24"/>
                <w:szCs w:val="24"/>
              </w:rPr>
              <w:t>13,386,993.05</w:t>
            </w:r>
            <w:r w:rsidR="009272A0" w:rsidRPr="005E3982">
              <w:rPr>
                <w:rFonts w:ascii="Times New Roman" w:hAnsi="Times New Roman" w:cs="Times New Roman"/>
                <w:b/>
                <w:sz w:val="24"/>
                <w:szCs w:val="24"/>
              </w:rPr>
              <w:t xml:space="preserve"> </w:t>
            </w:r>
          </w:p>
        </w:tc>
      </w:tr>
    </w:tbl>
    <w:p w:rsidR="00962DCB" w:rsidRDefault="00962DCB" w:rsidP="00B21032">
      <w:pPr>
        <w:tabs>
          <w:tab w:val="left" w:pos="450"/>
          <w:tab w:val="left" w:pos="1350"/>
        </w:tabs>
        <w:spacing w:after="0" w:line="240" w:lineRule="auto"/>
        <w:contextualSpacing/>
        <w:jc w:val="both"/>
        <w:rPr>
          <w:rFonts w:ascii="Times New Roman" w:hAnsi="Times New Roman" w:cs="Times New Roman"/>
          <w:b/>
          <w:bCs/>
          <w:sz w:val="24"/>
          <w:szCs w:val="24"/>
        </w:rPr>
      </w:pPr>
    </w:p>
    <w:p w:rsidR="00565950" w:rsidRDefault="00565950" w:rsidP="00B21032">
      <w:pPr>
        <w:tabs>
          <w:tab w:val="left" w:pos="450"/>
          <w:tab w:val="left" w:pos="1350"/>
        </w:tabs>
        <w:spacing w:after="0" w:line="240" w:lineRule="auto"/>
        <w:contextualSpacing/>
        <w:jc w:val="both"/>
        <w:rPr>
          <w:rFonts w:ascii="Times New Roman" w:hAnsi="Times New Roman" w:cs="Times New Roman"/>
          <w:b/>
          <w:bCs/>
          <w:sz w:val="24"/>
          <w:szCs w:val="24"/>
        </w:rPr>
      </w:pPr>
    </w:p>
    <w:p w:rsidR="00C52144" w:rsidRDefault="00C52144" w:rsidP="001A1C19">
      <w:pPr>
        <w:pStyle w:val="ListParagraph"/>
        <w:numPr>
          <w:ilvl w:val="0"/>
          <w:numId w:val="2"/>
        </w:numPr>
        <w:spacing w:after="0" w:line="240" w:lineRule="auto"/>
        <w:ind w:left="450" w:hanging="540"/>
        <w:contextualSpacing/>
        <w:jc w:val="both"/>
        <w:rPr>
          <w:rFonts w:ascii="Times New Roman" w:hAnsi="Times New Roman" w:cs="Times New Roman"/>
          <w:b/>
          <w:bCs/>
          <w:sz w:val="24"/>
          <w:szCs w:val="24"/>
        </w:rPr>
      </w:pPr>
      <w:r>
        <w:rPr>
          <w:rFonts w:ascii="Times New Roman" w:hAnsi="Times New Roman" w:cs="Times New Roman"/>
          <w:b/>
          <w:bCs/>
          <w:sz w:val="24"/>
          <w:szCs w:val="24"/>
        </w:rPr>
        <w:t>Compliance with Property Insurance Law</w:t>
      </w:r>
    </w:p>
    <w:p w:rsidR="00C52144" w:rsidRDefault="00C52144" w:rsidP="00352593">
      <w:pPr>
        <w:pStyle w:val="ListParagraph"/>
        <w:spacing w:after="0" w:line="240" w:lineRule="auto"/>
        <w:ind w:left="450"/>
        <w:contextualSpacing/>
        <w:jc w:val="both"/>
        <w:rPr>
          <w:rFonts w:ascii="Times New Roman" w:hAnsi="Times New Roman" w:cs="Times New Roman"/>
          <w:b/>
          <w:bCs/>
          <w:sz w:val="24"/>
          <w:szCs w:val="24"/>
        </w:rPr>
      </w:pPr>
    </w:p>
    <w:p w:rsidR="00346121" w:rsidRPr="00352593" w:rsidRDefault="00C52144">
      <w:pPr>
        <w:pStyle w:val="ListParagraph"/>
        <w:numPr>
          <w:ilvl w:val="1"/>
          <w:numId w:val="2"/>
        </w:numPr>
        <w:tabs>
          <w:tab w:val="left" w:pos="1080"/>
        </w:tabs>
        <w:spacing w:after="0" w:line="240" w:lineRule="auto"/>
        <w:ind w:left="990" w:hanging="540"/>
        <w:contextualSpacing/>
        <w:jc w:val="both"/>
        <w:rPr>
          <w:rFonts w:ascii="Times New Roman" w:hAnsi="Times New Roman" w:cs="Times New Roman"/>
          <w:b/>
          <w:bCs/>
          <w:sz w:val="24"/>
          <w:szCs w:val="24"/>
        </w:rPr>
      </w:pPr>
      <w:r w:rsidRPr="00EC7206">
        <w:rPr>
          <w:rFonts w:ascii="Times New Roman" w:hAnsi="Times New Roman" w:cs="Times New Roman"/>
          <w:sz w:val="24"/>
          <w:szCs w:val="24"/>
        </w:rPr>
        <w:t xml:space="preserve">The SET has </w:t>
      </w:r>
      <w:r>
        <w:rPr>
          <w:rFonts w:ascii="Times New Roman" w:hAnsi="Times New Roman" w:cs="Times New Roman"/>
          <w:sz w:val="24"/>
          <w:szCs w:val="24"/>
        </w:rPr>
        <w:t>i</w:t>
      </w:r>
      <w:r w:rsidR="00C5409E">
        <w:rPr>
          <w:rFonts w:ascii="Times New Roman" w:hAnsi="Times New Roman" w:cs="Times New Roman"/>
          <w:sz w:val="24"/>
          <w:szCs w:val="24"/>
        </w:rPr>
        <w:t xml:space="preserve">nsured its properties with the Property Insurance Fund </w:t>
      </w:r>
      <w:r w:rsidR="00141ED1">
        <w:rPr>
          <w:rFonts w:ascii="Times New Roman" w:hAnsi="Times New Roman" w:cs="Times New Roman"/>
          <w:sz w:val="24"/>
          <w:szCs w:val="24"/>
        </w:rPr>
        <w:t xml:space="preserve">of the GSIS </w:t>
      </w:r>
      <w:r w:rsidR="00C5409E">
        <w:rPr>
          <w:rFonts w:ascii="Times New Roman" w:hAnsi="Times New Roman" w:cs="Times New Roman"/>
          <w:sz w:val="24"/>
          <w:szCs w:val="24"/>
        </w:rPr>
        <w:t>as requ</w:t>
      </w:r>
      <w:r w:rsidR="00141ED1">
        <w:rPr>
          <w:rFonts w:ascii="Times New Roman" w:hAnsi="Times New Roman" w:cs="Times New Roman"/>
          <w:sz w:val="24"/>
          <w:szCs w:val="24"/>
        </w:rPr>
        <w:t>ired under Republic Act No. 656, details of which are as follows:</w:t>
      </w:r>
    </w:p>
    <w:p w:rsidR="00346121" w:rsidRPr="00352593" w:rsidRDefault="00346121" w:rsidP="00352593">
      <w:pPr>
        <w:tabs>
          <w:tab w:val="left" w:pos="1080"/>
        </w:tabs>
        <w:spacing w:after="0" w:line="240" w:lineRule="auto"/>
        <w:contextualSpacing/>
        <w:jc w:val="both"/>
        <w:rPr>
          <w:rFonts w:ascii="Times New Roman" w:hAnsi="Times New Roman" w:cs="Times New Roman"/>
          <w:b/>
          <w:bCs/>
          <w:sz w:val="24"/>
          <w:szCs w:val="24"/>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9"/>
        <w:gridCol w:w="2181"/>
      </w:tblGrid>
      <w:tr w:rsidR="00D53947" w:rsidTr="00CE2DEF">
        <w:trPr>
          <w:tblHeader/>
        </w:trPr>
        <w:tc>
          <w:tcPr>
            <w:tcW w:w="7650" w:type="dxa"/>
            <w:gridSpan w:val="2"/>
            <w:tcBorders>
              <w:top w:val="single" w:sz="4" w:space="0" w:color="auto"/>
            </w:tcBorders>
          </w:tcPr>
          <w:p w:rsidR="00D53947" w:rsidRDefault="00D53947" w:rsidP="00D53947">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Summary of Fixed Assets Insured</w:t>
            </w:r>
          </w:p>
        </w:tc>
      </w:tr>
      <w:tr w:rsidR="00D53947" w:rsidTr="00CE2DEF">
        <w:trPr>
          <w:tblHeader/>
        </w:trPr>
        <w:tc>
          <w:tcPr>
            <w:tcW w:w="5469" w:type="dxa"/>
            <w:tcBorders>
              <w:bottom w:val="single" w:sz="4" w:space="0" w:color="auto"/>
            </w:tcBorders>
          </w:tcPr>
          <w:p w:rsidR="00D53947" w:rsidRDefault="00163716" w:rsidP="00352593">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00D53947">
              <w:rPr>
                <w:rFonts w:ascii="Times New Roman" w:hAnsi="Times New Roman" w:cs="Times New Roman"/>
                <w:b/>
                <w:bCs/>
                <w:sz w:val="24"/>
                <w:szCs w:val="24"/>
              </w:rPr>
              <w:t>Account</w:t>
            </w:r>
          </w:p>
        </w:tc>
        <w:tc>
          <w:tcPr>
            <w:tcW w:w="2181" w:type="dxa"/>
            <w:tcBorders>
              <w:bottom w:val="single" w:sz="4" w:space="0" w:color="auto"/>
            </w:tcBorders>
          </w:tcPr>
          <w:p w:rsidR="00D53947" w:rsidRDefault="00141ED1" w:rsidP="00352593">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D53947">
              <w:rPr>
                <w:rFonts w:ascii="Times New Roman" w:hAnsi="Times New Roman" w:cs="Times New Roman"/>
                <w:b/>
                <w:bCs/>
                <w:sz w:val="24"/>
                <w:szCs w:val="24"/>
              </w:rPr>
              <w:t>Book Value</w:t>
            </w:r>
          </w:p>
        </w:tc>
      </w:tr>
      <w:tr w:rsidR="00D53947" w:rsidTr="00CE2DEF">
        <w:tc>
          <w:tcPr>
            <w:tcW w:w="5469" w:type="dxa"/>
            <w:tcBorders>
              <w:top w:val="single" w:sz="4" w:space="0" w:color="auto"/>
            </w:tcBorders>
          </w:tcPr>
          <w:p w:rsidR="00D53947" w:rsidRPr="00352593" w:rsidRDefault="00D53947" w:rsidP="00884FF3">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Office Equipment</w:t>
            </w:r>
          </w:p>
        </w:tc>
        <w:tc>
          <w:tcPr>
            <w:tcW w:w="2181" w:type="dxa"/>
            <w:tcBorders>
              <w:top w:val="single" w:sz="4" w:space="0" w:color="auto"/>
            </w:tcBorders>
          </w:tcPr>
          <w:p w:rsidR="00D53947" w:rsidRPr="00352593" w:rsidRDefault="00141ED1" w:rsidP="00352593">
            <w:pPr>
              <w:spacing w:after="0" w:line="240" w:lineRule="auto"/>
              <w:contextualSpacing/>
              <w:jc w:val="right"/>
              <w:rPr>
                <w:rFonts w:ascii="Times New Roman" w:hAnsi="Times New Roman" w:cs="Times New Roman"/>
                <w:bCs/>
                <w:sz w:val="24"/>
                <w:szCs w:val="24"/>
              </w:rPr>
            </w:pPr>
            <w:r w:rsidRPr="00061969">
              <w:rPr>
                <w:rFonts w:ascii="Times New Roman" w:eastAsia="Times New Roman" w:hAnsi="Times New Roman" w:cs="Times New Roman"/>
                <w:dstrike/>
                <w:sz w:val="24"/>
                <w:szCs w:val="24"/>
              </w:rPr>
              <w:t>P</w:t>
            </w:r>
            <w:r w:rsidR="00D53947">
              <w:rPr>
                <w:rFonts w:ascii="Times New Roman" w:hAnsi="Times New Roman" w:cs="Times New Roman"/>
                <w:bCs/>
                <w:sz w:val="24"/>
                <w:szCs w:val="24"/>
              </w:rPr>
              <w:t>1,512,323.62</w:t>
            </w:r>
          </w:p>
        </w:tc>
      </w:tr>
      <w:tr w:rsidR="00D53947" w:rsidTr="00CE2DEF">
        <w:tc>
          <w:tcPr>
            <w:tcW w:w="5469" w:type="dxa"/>
          </w:tcPr>
          <w:p w:rsidR="00D53947" w:rsidRPr="00352593" w:rsidRDefault="00D53947" w:rsidP="00884FF3">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Furniture and Fixtures</w:t>
            </w:r>
          </w:p>
        </w:tc>
        <w:tc>
          <w:tcPr>
            <w:tcW w:w="2181" w:type="dxa"/>
          </w:tcPr>
          <w:p w:rsidR="00D53947" w:rsidRPr="00352593" w:rsidRDefault="00D53947" w:rsidP="00352593">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26,896.00</w:t>
            </w:r>
          </w:p>
        </w:tc>
      </w:tr>
      <w:tr w:rsidR="00D53947" w:rsidTr="00CE2DEF">
        <w:tc>
          <w:tcPr>
            <w:tcW w:w="5469" w:type="dxa"/>
            <w:tcBorders>
              <w:bottom w:val="single" w:sz="4" w:space="0" w:color="auto"/>
            </w:tcBorders>
          </w:tcPr>
          <w:p w:rsidR="00D53947" w:rsidRPr="00445D93" w:rsidRDefault="00D53947" w:rsidP="00352593">
            <w:pPr>
              <w:spacing w:after="0" w:line="240" w:lineRule="auto"/>
              <w:contextualSpacing/>
              <w:rPr>
                <w:rFonts w:ascii="Times New Roman" w:hAnsi="Times New Roman" w:cs="Times New Roman"/>
                <w:bCs/>
                <w:sz w:val="23"/>
                <w:szCs w:val="23"/>
              </w:rPr>
            </w:pPr>
            <w:r w:rsidRPr="00445D93">
              <w:rPr>
                <w:rFonts w:ascii="Times New Roman" w:hAnsi="Times New Roman" w:cs="Times New Roman"/>
                <w:bCs/>
                <w:sz w:val="23"/>
                <w:szCs w:val="23"/>
              </w:rPr>
              <w:t>Information and Communication Technology Equipment</w:t>
            </w:r>
          </w:p>
        </w:tc>
        <w:tc>
          <w:tcPr>
            <w:tcW w:w="2181" w:type="dxa"/>
            <w:tcBorders>
              <w:bottom w:val="single" w:sz="4" w:space="0" w:color="auto"/>
            </w:tcBorders>
          </w:tcPr>
          <w:p w:rsidR="00D53947" w:rsidRPr="00352593" w:rsidRDefault="00D53947" w:rsidP="00352593">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1,019,336.46</w:t>
            </w:r>
          </w:p>
        </w:tc>
      </w:tr>
      <w:tr w:rsidR="00D53947" w:rsidTr="00CE2DEF">
        <w:tc>
          <w:tcPr>
            <w:tcW w:w="5469" w:type="dxa"/>
            <w:tcBorders>
              <w:top w:val="single" w:sz="4" w:space="0" w:color="auto"/>
              <w:bottom w:val="single" w:sz="4" w:space="0" w:color="auto"/>
            </w:tcBorders>
          </w:tcPr>
          <w:p w:rsidR="00D53947" w:rsidRPr="00352593" w:rsidRDefault="00D53947" w:rsidP="00884FF3">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Other PPE</w:t>
            </w:r>
          </w:p>
        </w:tc>
        <w:tc>
          <w:tcPr>
            <w:tcW w:w="2181" w:type="dxa"/>
            <w:tcBorders>
              <w:top w:val="single" w:sz="4" w:space="0" w:color="auto"/>
              <w:bottom w:val="single" w:sz="4" w:space="0" w:color="auto"/>
            </w:tcBorders>
          </w:tcPr>
          <w:p w:rsidR="00D53947" w:rsidRPr="00352593" w:rsidRDefault="00D53947" w:rsidP="00352593">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20,745.80</w:t>
            </w:r>
          </w:p>
        </w:tc>
      </w:tr>
      <w:tr w:rsidR="00D53947" w:rsidTr="00CE2DEF">
        <w:tc>
          <w:tcPr>
            <w:tcW w:w="5469" w:type="dxa"/>
            <w:tcBorders>
              <w:top w:val="single" w:sz="4" w:space="0" w:color="auto"/>
              <w:bottom w:val="double" w:sz="4" w:space="0" w:color="auto"/>
            </w:tcBorders>
          </w:tcPr>
          <w:p w:rsidR="00D53947" w:rsidRPr="00D53947" w:rsidRDefault="00D53947" w:rsidP="00884FF3">
            <w:pPr>
              <w:spacing w:after="0" w:line="240" w:lineRule="auto"/>
              <w:contextualSpacing/>
              <w:jc w:val="both"/>
              <w:rPr>
                <w:rFonts w:ascii="Times New Roman" w:hAnsi="Times New Roman" w:cs="Times New Roman"/>
                <w:b/>
                <w:bCs/>
                <w:sz w:val="24"/>
                <w:szCs w:val="24"/>
              </w:rPr>
            </w:pPr>
            <w:r w:rsidRPr="00352593">
              <w:rPr>
                <w:rFonts w:ascii="Times New Roman" w:hAnsi="Times New Roman" w:cs="Times New Roman"/>
                <w:b/>
                <w:bCs/>
                <w:sz w:val="24"/>
                <w:szCs w:val="24"/>
              </w:rPr>
              <w:t>Total</w:t>
            </w:r>
          </w:p>
        </w:tc>
        <w:tc>
          <w:tcPr>
            <w:tcW w:w="2181" w:type="dxa"/>
            <w:tcBorders>
              <w:top w:val="single" w:sz="4" w:space="0" w:color="auto"/>
              <w:bottom w:val="double" w:sz="4" w:space="0" w:color="auto"/>
            </w:tcBorders>
          </w:tcPr>
          <w:p w:rsidR="00D53947" w:rsidRPr="00D53947" w:rsidRDefault="00141ED1" w:rsidP="00352593">
            <w:pPr>
              <w:spacing w:after="0" w:line="240" w:lineRule="auto"/>
              <w:contextualSpacing/>
              <w:jc w:val="right"/>
              <w:rPr>
                <w:rFonts w:ascii="Times New Roman" w:hAnsi="Times New Roman" w:cs="Times New Roman"/>
                <w:b/>
                <w:bCs/>
                <w:sz w:val="24"/>
                <w:szCs w:val="24"/>
              </w:rPr>
            </w:pPr>
            <w:r w:rsidRPr="00352593">
              <w:rPr>
                <w:rFonts w:ascii="Times New Roman" w:eastAsia="Times New Roman" w:hAnsi="Times New Roman" w:cs="Times New Roman"/>
                <w:b/>
                <w:dstrike/>
                <w:sz w:val="24"/>
                <w:szCs w:val="24"/>
              </w:rPr>
              <w:t>P</w:t>
            </w:r>
            <w:r w:rsidR="00D53947" w:rsidRPr="00352593">
              <w:rPr>
                <w:rFonts w:ascii="Times New Roman" w:hAnsi="Times New Roman" w:cs="Times New Roman"/>
                <w:b/>
                <w:bCs/>
                <w:sz w:val="24"/>
                <w:szCs w:val="24"/>
              </w:rPr>
              <w:t>2,579,301.88</w:t>
            </w:r>
          </w:p>
        </w:tc>
      </w:tr>
    </w:tbl>
    <w:p w:rsidR="00D53947" w:rsidRDefault="00D53947" w:rsidP="00352593">
      <w:pPr>
        <w:spacing w:after="0" w:line="240" w:lineRule="auto"/>
        <w:contextualSpacing/>
        <w:jc w:val="both"/>
        <w:rPr>
          <w:rFonts w:ascii="Times New Roman" w:hAnsi="Times New Roman" w:cs="Times New Roman"/>
          <w:b/>
          <w:bCs/>
          <w:sz w:val="24"/>
          <w:szCs w:val="24"/>
        </w:rPr>
      </w:pPr>
    </w:p>
    <w:p w:rsidR="00346121" w:rsidRPr="00352593" w:rsidRDefault="00346121" w:rsidP="00352593">
      <w:pPr>
        <w:spacing w:after="0" w:line="240" w:lineRule="auto"/>
        <w:contextualSpacing/>
        <w:jc w:val="both"/>
        <w:rPr>
          <w:rFonts w:ascii="Times New Roman" w:hAnsi="Times New Roman" w:cs="Times New Roman"/>
          <w:b/>
          <w:bCs/>
          <w:sz w:val="24"/>
          <w:szCs w:val="24"/>
        </w:rPr>
      </w:pPr>
    </w:p>
    <w:p w:rsidR="00EC7206" w:rsidRPr="00EC7206" w:rsidRDefault="00565950" w:rsidP="001A1C19">
      <w:pPr>
        <w:pStyle w:val="ListParagraph"/>
        <w:numPr>
          <w:ilvl w:val="0"/>
          <w:numId w:val="2"/>
        </w:numPr>
        <w:spacing w:after="0" w:line="240" w:lineRule="auto"/>
        <w:ind w:left="450" w:hanging="540"/>
        <w:contextualSpacing/>
        <w:jc w:val="both"/>
        <w:rPr>
          <w:rFonts w:ascii="Times New Roman" w:hAnsi="Times New Roman" w:cs="Times New Roman"/>
          <w:b/>
          <w:bCs/>
          <w:sz w:val="24"/>
          <w:szCs w:val="24"/>
        </w:rPr>
      </w:pPr>
      <w:r w:rsidRPr="00874B4A">
        <w:rPr>
          <w:rFonts w:ascii="Times New Roman" w:hAnsi="Times New Roman" w:cs="Times New Roman"/>
          <w:b/>
          <w:bCs/>
          <w:sz w:val="24"/>
          <w:szCs w:val="24"/>
        </w:rPr>
        <w:t>Compliance with  Supreme Court’s Decision on Priority Development Assistance Fund (PDAF)  and Disbursement Acceleration Program (DAP)</w:t>
      </w:r>
    </w:p>
    <w:p w:rsidR="00EC7206" w:rsidRPr="008A4439" w:rsidRDefault="00EC7206" w:rsidP="00EC7206">
      <w:pPr>
        <w:pStyle w:val="ListParagraph"/>
        <w:spacing w:line="240" w:lineRule="auto"/>
        <w:ind w:left="450"/>
        <w:contextualSpacing/>
        <w:jc w:val="both"/>
        <w:rPr>
          <w:rFonts w:ascii="Times New Roman" w:hAnsi="Times New Roman" w:cs="Times New Roman"/>
          <w:b/>
          <w:bCs/>
          <w:sz w:val="24"/>
          <w:szCs w:val="24"/>
        </w:rPr>
      </w:pPr>
    </w:p>
    <w:p w:rsidR="00EC7206" w:rsidRPr="00352593" w:rsidRDefault="00EC7206" w:rsidP="00EC7206">
      <w:pPr>
        <w:pStyle w:val="ListParagraph"/>
        <w:numPr>
          <w:ilvl w:val="1"/>
          <w:numId w:val="2"/>
        </w:numPr>
        <w:tabs>
          <w:tab w:val="left" w:pos="1080"/>
        </w:tabs>
        <w:spacing w:after="0" w:line="240" w:lineRule="auto"/>
        <w:ind w:left="990" w:hanging="540"/>
        <w:contextualSpacing/>
        <w:jc w:val="both"/>
        <w:rPr>
          <w:rFonts w:ascii="Times New Roman" w:hAnsi="Times New Roman" w:cs="Times New Roman"/>
          <w:b/>
          <w:bCs/>
          <w:sz w:val="24"/>
          <w:szCs w:val="24"/>
        </w:rPr>
      </w:pPr>
      <w:r w:rsidRPr="00EC7206">
        <w:rPr>
          <w:rFonts w:ascii="Times New Roman" w:hAnsi="Times New Roman" w:cs="Times New Roman"/>
          <w:sz w:val="24"/>
          <w:szCs w:val="24"/>
        </w:rPr>
        <w:t xml:space="preserve">The SET has not received PDAF and DAP funds from the Department of Budget and Management or from any agency. </w:t>
      </w:r>
    </w:p>
    <w:p w:rsidR="001A1C19" w:rsidRDefault="001A1C19" w:rsidP="00352593">
      <w:pPr>
        <w:pStyle w:val="ListParagraph"/>
        <w:tabs>
          <w:tab w:val="left" w:pos="1080"/>
        </w:tabs>
        <w:spacing w:after="0" w:line="240" w:lineRule="auto"/>
        <w:ind w:left="990"/>
        <w:contextualSpacing/>
        <w:jc w:val="both"/>
        <w:rPr>
          <w:rFonts w:ascii="Times New Roman" w:hAnsi="Times New Roman" w:cs="Times New Roman"/>
          <w:sz w:val="24"/>
          <w:szCs w:val="24"/>
        </w:rPr>
      </w:pPr>
    </w:p>
    <w:p w:rsidR="001A1C19" w:rsidRDefault="001A1C19" w:rsidP="00352593">
      <w:pPr>
        <w:pStyle w:val="ListParagraph"/>
        <w:tabs>
          <w:tab w:val="left" w:pos="1080"/>
        </w:tabs>
        <w:spacing w:after="0" w:line="240" w:lineRule="auto"/>
        <w:ind w:left="990"/>
        <w:contextualSpacing/>
        <w:jc w:val="both"/>
        <w:rPr>
          <w:rFonts w:ascii="Times New Roman" w:hAnsi="Times New Roman" w:cs="Times New Roman"/>
          <w:sz w:val="24"/>
          <w:szCs w:val="24"/>
        </w:rPr>
      </w:pPr>
    </w:p>
    <w:p w:rsidR="001A1C19" w:rsidRPr="00061969" w:rsidRDefault="001A1C19" w:rsidP="001A1C19">
      <w:pPr>
        <w:pStyle w:val="ListParagraph"/>
        <w:numPr>
          <w:ilvl w:val="0"/>
          <w:numId w:val="2"/>
        </w:numPr>
        <w:spacing w:line="240" w:lineRule="auto"/>
        <w:ind w:left="450" w:hanging="540"/>
        <w:contextualSpacing/>
        <w:jc w:val="both"/>
        <w:rPr>
          <w:rFonts w:ascii="Times New Roman" w:hAnsi="Times New Roman" w:cs="Times New Roman"/>
          <w:b/>
          <w:sz w:val="24"/>
          <w:szCs w:val="24"/>
        </w:rPr>
      </w:pPr>
      <w:r w:rsidRPr="00061969">
        <w:rPr>
          <w:rFonts w:ascii="Times New Roman" w:hAnsi="Times New Roman" w:cs="Times New Roman"/>
          <w:b/>
          <w:sz w:val="24"/>
          <w:szCs w:val="24"/>
        </w:rPr>
        <w:t>Status of Audit Suspensions, Disallowances and Charges</w:t>
      </w:r>
    </w:p>
    <w:p w:rsidR="001A1C19" w:rsidRPr="005A7A49" w:rsidRDefault="001A1C19" w:rsidP="001A1C19">
      <w:pPr>
        <w:pStyle w:val="ListParagraph"/>
        <w:tabs>
          <w:tab w:val="left" w:pos="360"/>
        </w:tabs>
        <w:spacing w:after="0" w:line="240" w:lineRule="auto"/>
        <w:ind w:left="360"/>
        <w:contextualSpacing/>
        <w:jc w:val="both"/>
        <w:rPr>
          <w:rFonts w:ascii="Times New Roman" w:hAnsi="Times New Roman" w:cs="Times New Roman"/>
          <w:b/>
          <w:sz w:val="24"/>
          <w:szCs w:val="24"/>
        </w:rPr>
      </w:pPr>
    </w:p>
    <w:p w:rsidR="00003998" w:rsidRDefault="00C52144">
      <w:pPr>
        <w:pStyle w:val="BodyText"/>
        <w:tabs>
          <w:tab w:val="left" w:pos="1080"/>
        </w:tabs>
        <w:spacing w:after="0" w:line="240" w:lineRule="auto"/>
        <w:ind w:left="990" w:hanging="540"/>
        <w:contextualSpacing/>
        <w:jc w:val="both"/>
        <w:rPr>
          <w:rFonts w:ascii="Times New Roman" w:hAnsi="Times New Roman" w:cs="Times New Roman"/>
          <w:sz w:val="24"/>
          <w:szCs w:val="24"/>
        </w:rPr>
      </w:pPr>
      <w:r>
        <w:rPr>
          <w:rFonts w:ascii="Times New Roman" w:hAnsi="Times New Roman" w:cs="Times New Roman"/>
          <w:sz w:val="24"/>
          <w:szCs w:val="24"/>
        </w:rPr>
        <w:t>10</w:t>
      </w:r>
      <w:r w:rsidR="001A1C19">
        <w:rPr>
          <w:rFonts w:ascii="Times New Roman" w:hAnsi="Times New Roman" w:cs="Times New Roman"/>
          <w:sz w:val="24"/>
          <w:szCs w:val="24"/>
        </w:rPr>
        <w:t>.1</w:t>
      </w:r>
      <w:r w:rsidR="00003998">
        <w:rPr>
          <w:rFonts w:ascii="Times New Roman" w:hAnsi="Times New Roman" w:cs="Times New Roman"/>
          <w:sz w:val="24"/>
          <w:szCs w:val="24"/>
        </w:rPr>
        <w:t xml:space="preserve"> Existing disallowances balance as of CY 2013 is </w:t>
      </w:r>
      <w:r w:rsidR="00003998" w:rsidRPr="00061969">
        <w:rPr>
          <w:rFonts w:ascii="Times New Roman" w:eastAsia="Times New Roman" w:hAnsi="Times New Roman" w:cs="Times New Roman"/>
          <w:dstrike/>
          <w:sz w:val="24"/>
          <w:szCs w:val="24"/>
        </w:rPr>
        <w:t>P</w:t>
      </w:r>
      <w:r w:rsidR="00003998" w:rsidRPr="00061969">
        <w:rPr>
          <w:rFonts w:ascii="Times New Roman" w:hAnsi="Times New Roman" w:cs="Times New Roman"/>
          <w:sz w:val="24"/>
          <w:szCs w:val="24"/>
        </w:rPr>
        <w:t>215,248.44</w:t>
      </w:r>
      <w:r w:rsidR="00003998">
        <w:rPr>
          <w:rFonts w:ascii="Times New Roman" w:hAnsi="Times New Roman" w:cs="Times New Roman"/>
          <w:sz w:val="24"/>
          <w:szCs w:val="24"/>
        </w:rPr>
        <w:t xml:space="preserve">. A motion for </w:t>
      </w:r>
      <w:r w:rsidR="00003998" w:rsidRPr="00061969">
        <w:rPr>
          <w:rFonts w:ascii="Times New Roman" w:hAnsi="Times New Roman" w:cs="Times New Roman"/>
          <w:sz w:val="24"/>
          <w:szCs w:val="24"/>
        </w:rPr>
        <w:t>reconsideration was filed</w:t>
      </w:r>
      <w:r w:rsidR="00003998" w:rsidRPr="00003998">
        <w:rPr>
          <w:rFonts w:ascii="Times New Roman" w:hAnsi="Times New Roman" w:cs="Times New Roman"/>
          <w:sz w:val="24"/>
          <w:szCs w:val="24"/>
        </w:rPr>
        <w:t xml:space="preserve"> </w:t>
      </w:r>
      <w:r w:rsidR="00003998">
        <w:rPr>
          <w:rFonts w:ascii="Times New Roman" w:hAnsi="Times New Roman" w:cs="Times New Roman"/>
          <w:sz w:val="24"/>
          <w:szCs w:val="24"/>
        </w:rPr>
        <w:t>before the Commission Proper (CP) under COA CP Case No. 2015-012</w:t>
      </w:r>
      <w:r w:rsidR="00003998" w:rsidRPr="00061969">
        <w:rPr>
          <w:rFonts w:ascii="Times New Roman" w:hAnsi="Times New Roman" w:cs="Times New Roman"/>
          <w:sz w:val="24"/>
          <w:szCs w:val="24"/>
        </w:rPr>
        <w:t>.</w:t>
      </w:r>
      <w:r w:rsidR="00003998">
        <w:rPr>
          <w:rFonts w:ascii="Times New Roman" w:hAnsi="Times New Roman" w:cs="Times New Roman"/>
          <w:sz w:val="24"/>
          <w:szCs w:val="24"/>
        </w:rPr>
        <w:t xml:space="preserve"> However, pending </w:t>
      </w:r>
      <w:r w:rsidR="002C7B2B">
        <w:rPr>
          <w:rFonts w:ascii="Times New Roman" w:hAnsi="Times New Roman" w:cs="Times New Roman"/>
          <w:sz w:val="24"/>
          <w:szCs w:val="24"/>
        </w:rPr>
        <w:t>result of the m</w:t>
      </w:r>
      <w:r w:rsidR="00003998">
        <w:rPr>
          <w:rFonts w:ascii="Times New Roman" w:hAnsi="Times New Roman" w:cs="Times New Roman"/>
          <w:sz w:val="24"/>
          <w:szCs w:val="24"/>
        </w:rPr>
        <w:t>otion, SET partially settle</w:t>
      </w:r>
      <w:r w:rsidR="000D5A7C">
        <w:rPr>
          <w:rFonts w:ascii="Times New Roman" w:hAnsi="Times New Roman" w:cs="Times New Roman"/>
          <w:sz w:val="24"/>
          <w:szCs w:val="24"/>
        </w:rPr>
        <w:t>d</w:t>
      </w:r>
      <w:r w:rsidR="00003998">
        <w:rPr>
          <w:rFonts w:ascii="Times New Roman" w:hAnsi="Times New Roman" w:cs="Times New Roman"/>
          <w:sz w:val="24"/>
          <w:szCs w:val="24"/>
        </w:rPr>
        <w:t xml:space="preserve"> the amount of </w:t>
      </w:r>
      <w:r w:rsidR="002C7B2B" w:rsidRPr="00061969">
        <w:rPr>
          <w:rFonts w:ascii="Times New Roman" w:eastAsia="Times New Roman" w:hAnsi="Times New Roman" w:cs="Times New Roman"/>
          <w:dstrike/>
          <w:sz w:val="24"/>
          <w:szCs w:val="24"/>
        </w:rPr>
        <w:t>P</w:t>
      </w:r>
      <w:r w:rsidR="002C7B2B">
        <w:rPr>
          <w:rFonts w:ascii="Times New Roman" w:hAnsi="Times New Roman" w:cs="Times New Roman"/>
          <w:sz w:val="24"/>
          <w:szCs w:val="24"/>
        </w:rPr>
        <w:t xml:space="preserve">143,498.96 under </w:t>
      </w:r>
      <w:r w:rsidR="000D5A7C">
        <w:rPr>
          <w:rFonts w:ascii="Times New Roman" w:hAnsi="Times New Roman" w:cs="Times New Roman"/>
          <w:sz w:val="24"/>
          <w:szCs w:val="24"/>
        </w:rPr>
        <w:t>Official Receipt (OR) No. 2183599 dated August 5, 2015 and OR</w:t>
      </w:r>
      <w:r w:rsidR="002C7B2B">
        <w:rPr>
          <w:rFonts w:ascii="Times New Roman" w:hAnsi="Times New Roman" w:cs="Times New Roman"/>
          <w:sz w:val="24"/>
          <w:szCs w:val="24"/>
        </w:rPr>
        <w:t xml:space="preserve"> No.  </w:t>
      </w:r>
      <w:r w:rsidR="002C7B2B" w:rsidRPr="003F5F47">
        <w:rPr>
          <w:rFonts w:ascii="Times New Roman" w:hAnsi="Times New Roman" w:cs="Times New Roman"/>
          <w:sz w:val="24"/>
          <w:szCs w:val="24"/>
        </w:rPr>
        <w:t>2183628 dated May 11, 2016</w:t>
      </w:r>
      <w:r w:rsidR="002C7B2B">
        <w:rPr>
          <w:rFonts w:ascii="Times New Roman" w:hAnsi="Times New Roman" w:cs="Times New Roman"/>
          <w:sz w:val="24"/>
          <w:szCs w:val="24"/>
        </w:rPr>
        <w:t xml:space="preserve">, thus the remaining amount of disallowances as of year-end is </w:t>
      </w:r>
      <w:r w:rsidR="002C7B2B" w:rsidRPr="00A4110D">
        <w:rPr>
          <w:rFonts w:ascii="Times New Roman" w:hAnsi="Times New Roman" w:cs="Times New Roman"/>
          <w:dstrike/>
          <w:sz w:val="24"/>
          <w:szCs w:val="24"/>
        </w:rPr>
        <w:t>P</w:t>
      </w:r>
      <w:r w:rsidR="002C7B2B">
        <w:rPr>
          <w:rFonts w:ascii="Times New Roman" w:hAnsi="Times New Roman" w:cs="Times New Roman"/>
          <w:sz w:val="24"/>
          <w:szCs w:val="24"/>
        </w:rPr>
        <w:t>71,749.48.</w:t>
      </w:r>
    </w:p>
    <w:p w:rsidR="001A1C19" w:rsidRDefault="001A1C19" w:rsidP="001A1C19">
      <w:pPr>
        <w:pStyle w:val="BodyText"/>
        <w:tabs>
          <w:tab w:val="left" w:pos="630"/>
        </w:tabs>
        <w:spacing w:after="0" w:line="240" w:lineRule="auto"/>
        <w:ind w:left="990" w:hanging="540"/>
        <w:contextualSpacing/>
        <w:jc w:val="both"/>
        <w:rPr>
          <w:rFonts w:ascii="Times New Roman" w:hAnsi="Times New Roman" w:cs="Times New Roman"/>
          <w:sz w:val="24"/>
          <w:szCs w:val="24"/>
        </w:rPr>
      </w:pPr>
    </w:p>
    <w:p w:rsidR="001A1C19" w:rsidRPr="00EC7206" w:rsidRDefault="001A1C19" w:rsidP="00352593">
      <w:pPr>
        <w:pStyle w:val="ListParagraph"/>
        <w:tabs>
          <w:tab w:val="left" w:pos="1080"/>
        </w:tabs>
        <w:spacing w:after="0" w:line="240" w:lineRule="auto"/>
        <w:ind w:left="990"/>
        <w:contextualSpacing/>
        <w:jc w:val="both"/>
        <w:rPr>
          <w:rFonts w:ascii="Times New Roman" w:hAnsi="Times New Roman" w:cs="Times New Roman"/>
          <w:b/>
          <w:bCs/>
          <w:sz w:val="24"/>
          <w:szCs w:val="24"/>
        </w:rPr>
      </w:pPr>
    </w:p>
    <w:p w:rsidR="00565950" w:rsidRPr="00565950" w:rsidRDefault="00565950" w:rsidP="00B21032">
      <w:pPr>
        <w:pStyle w:val="ListParagraph"/>
        <w:tabs>
          <w:tab w:val="left" w:pos="450"/>
          <w:tab w:val="left" w:pos="1350"/>
        </w:tabs>
        <w:spacing w:after="0" w:line="240" w:lineRule="auto"/>
        <w:contextualSpacing/>
        <w:jc w:val="both"/>
        <w:rPr>
          <w:rFonts w:ascii="Times New Roman" w:hAnsi="Times New Roman" w:cs="Times New Roman"/>
          <w:bCs/>
          <w:sz w:val="24"/>
          <w:szCs w:val="24"/>
        </w:rPr>
      </w:pPr>
    </w:p>
    <w:sectPr w:rsidR="00565950" w:rsidRPr="00565950" w:rsidSect="0025029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2160"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8E8" w:rsidRDefault="001218E8" w:rsidP="00284122">
      <w:pPr>
        <w:spacing w:after="0" w:line="240" w:lineRule="auto"/>
      </w:pPr>
      <w:r>
        <w:separator/>
      </w:r>
    </w:p>
  </w:endnote>
  <w:endnote w:type="continuationSeparator" w:id="0">
    <w:p w:rsidR="001218E8" w:rsidRDefault="001218E8" w:rsidP="0028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93" w:rsidRDefault="00352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BCF" w:rsidRPr="00D664D4" w:rsidRDefault="00B93BCF">
    <w:pPr>
      <w:pStyle w:val="Footer"/>
      <w:jc w:val="center"/>
      <w:rPr>
        <w:sz w:val="20"/>
        <w:szCs w:val="20"/>
      </w:rPr>
    </w:pPr>
    <w:r w:rsidRPr="00D664D4">
      <w:rPr>
        <w:rFonts w:ascii="Times New Roman" w:hAnsi="Times New Roman" w:cs="Times New Roman"/>
        <w:sz w:val="20"/>
        <w:szCs w:val="20"/>
      </w:rPr>
      <w:fldChar w:fldCharType="begin"/>
    </w:r>
    <w:r w:rsidRPr="00D664D4">
      <w:rPr>
        <w:rFonts w:ascii="Times New Roman" w:hAnsi="Times New Roman" w:cs="Times New Roman"/>
        <w:sz w:val="20"/>
        <w:szCs w:val="20"/>
      </w:rPr>
      <w:instrText xml:space="preserve"> PAGE   \* MERGEFORMAT </w:instrText>
    </w:r>
    <w:r w:rsidRPr="00D664D4">
      <w:rPr>
        <w:rFonts w:ascii="Times New Roman" w:hAnsi="Times New Roman" w:cs="Times New Roman"/>
        <w:sz w:val="20"/>
        <w:szCs w:val="20"/>
      </w:rPr>
      <w:fldChar w:fldCharType="separate"/>
    </w:r>
    <w:r w:rsidR="00664865">
      <w:rPr>
        <w:rFonts w:ascii="Times New Roman" w:hAnsi="Times New Roman" w:cs="Times New Roman"/>
        <w:noProof/>
        <w:sz w:val="20"/>
        <w:szCs w:val="20"/>
      </w:rPr>
      <w:t>31</w:t>
    </w:r>
    <w:r w:rsidRPr="00D664D4">
      <w:rPr>
        <w:rFonts w:ascii="Times New Roman" w:hAnsi="Times New Roman" w:cs="Times New Roman"/>
        <w:sz w:val="20"/>
        <w:szCs w:val="20"/>
      </w:rPr>
      <w:fldChar w:fldCharType="end"/>
    </w:r>
  </w:p>
  <w:p w:rsidR="00B93BCF" w:rsidRDefault="00B93B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93" w:rsidRDefault="00352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8E8" w:rsidRDefault="001218E8" w:rsidP="00284122">
      <w:pPr>
        <w:spacing w:after="0" w:line="240" w:lineRule="auto"/>
      </w:pPr>
      <w:r>
        <w:separator/>
      </w:r>
    </w:p>
  </w:footnote>
  <w:footnote w:type="continuationSeparator" w:id="0">
    <w:p w:rsidR="001218E8" w:rsidRDefault="001218E8" w:rsidP="00284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93" w:rsidRDefault="00352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93" w:rsidRDefault="003525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93" w:rsidRDefault="00352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3192"/>
    <w:multiLevelType w:val="hybridMultilevel"/>
    <w:tmpl w:val="BB4E33B2"/>
    <w:lvl w:ilvl="0" w:tplc="24CAAE56">
      <w:start w:val="1"/>
      <w:numFmt w:val="lowerLetter"/>
      <w:lvlText w:val="%1)"/>
      <w:lvlJc w:val="left"/>
      <w:pPr>
        <w:ind w:left="1710" w:hanging="360"/>
      </w:pPr>
      <w:rPr>
        <w:rFonts w:hint="default"/>
      </w:r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abstractNum w:abstractNumId="1" w15:restartNumberingAfterBreak="0">
    <w:nsid w:val="10BE7C53"/>
    <w:multiLevelType w:val="multilevel"/>
    <w:tmpl w:val="332EC9FA"/>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ascii="Times New Roman" w:hAnsi="Times New Roman" w:cs="Times New Roman" w:hint="default"/>
        <w:b w:val="0"/>
        <w:i w:val="0"/>
        <w:sz w:val="24"/>
        <w:szCs w:val="24"/>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35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90" w:hanging="1080"/>
      </w:pPr>
      <w:rPr>
        <w:rFonts w:hint="default"/>
        <w:i w:val="0"/>
      </w:rPr>
    </w:lvl>
    <w:lvl w:ilvl="6">
      <w:start w:val="1"/>
      <w:numFmt w:val="decimal"/>
      <w:isLgl/>
      <w:lvlText w:val="%1.%2.%3.%4.%5.%6.%7"/>
      <w:lvlJc w:val="left"/>
      <w:pPr>
        <w:ind w:left="2340" w:hanging="1440"/>
      </w:pPr>
      <w:rPr>
        <w:rFonts w:hint="default"/>
        <w:i w:val="0"/>
      </w:rPr>
    </w:lvl>
    <w:lvl w:ilvl="7">
      <w:start w:val="1"/>
      <w:numFmt w:val="decimal"/>
      <w:isLgl/>
      <w:lvlText w:val="%1.%2.%3.%4.%5.%6.%7.%8"/>
      <w:lvlJc w:val="left"/>
      <w:pPr>
        <w:ind w:left="2430" w:hanging="1440"/>
      </w:pPr>
      <w:rPr>
        <w:rFonts w:hint="default"/>
        <w:i w:val="0"/>
      </w:rPr>
    </w:lvl>
    <w:lvl w:ilvl="8">
      <w:start w:val="1"/>
      <w:numFmt w:val="decimal"/>
      <w:isLgl/>
      <w:lvlText w:val="%1.%2.%3.%4.%5.%6.%7.%8.%9"/>
      <w:lvlJc w:val="left"/>
      <w:pPr>
        <w:ind w:left="2880" w:hanging="1800"/>
      </w:pPr>
      <w:rPr>
        <w:rFonts w:hint="default"/>
        <w:i w:val="0"/>
      </w:rPr>
    </w:lvl>
  </w:abstractNum>
  <w:abstractNum w:abstractNumId="2" w15:restartNumberingAfterBreak="0">
    <w:nsid w:val="1F5E1E88"/>
    <w:multiLevelType w:val="hybridMultilevel"/>
    <w:tmpl w:val="7458DF8A"/>
    <w:lvl w:ilvl="0" w:tplc="415E2844">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3044C57"/>
    <w:multiLevelType w:val="hybridMultilevel"/>
    <w:tmpl w:val="E3BADEDA"/>
    <w:lvl w:ilvl="0" w:tplc="AF887B0C">
      <w:start w:val="1"/>
      <w:numFmt w:val="lowerLetter"/>
      <w:lvlText w:val="%1)"/>
      <w:lvlJc w:val="left"/>
      <w:pPr>
        <w:ind w:left="1800" w:hanging="360"/>
      </w:pPr>
      <w:rPr>
        <w:rFonts w:hint="default"/>
      </w:rPr>
    </w:lvl>
    <w:lvl w:ilvl="1" w:tplc="04640019" w:tentative="1">
      <w:start w:val="1"/>
      <w:numFmt w:val="lowerLetter"/>
      <w:lvlText w:val="%2."/>
      <w:lvlJc w:val="left"/>
      <w:pPr>
        <w:ind w:left="2520" w:hanging="360"/>
      </w:pPr>
    </w:lvl>
    <w:lvl w:ilvl="2" w:tplc="0464001B" w:tentative="1">
      <w:start w:val="1"/>
      <w:numFmt w:val="lowerRoman"/>
      <w:lvlText w:val="%3."/>
      <w:lvlJc w:val="right"/>
      <w:pPr>
        <w:ind w:left="3240" w:hanging="180"/>
      </w:pPr>
    </w:lvl>
    <w:lvl w:ilvl="3" w:tplc="0464000F" w:tentative="1">
      <w:start w:val="1"/>
      <w:numFmt w:val="decimal"/>
      <w:lvlText w:val="%4."/>
      <w:lvlJc w:val="left"/>
      <w:pPr>
        <w:ind w:left="3960" w:hanging="360"/>
      </w:pPr>
    </w:lvl>
    <w:lvl w:ilvl="4" w:tplc="04640019" w:tentative="1">
      <w:start w:val="1"/>
      <w:numFmt w:val="lowerLetter"/>
      <w:lvlText w:val="%5."/>
      <w:lvlJc w:val="left"/>
      <w:pPr>
        <w:ind w:left="4680" w:hanging="360"/>
      </w:pPr>
    </w:lvl>
    <w:lvl w:ilvl="5" w:tplc="0464001B" w:tentative="1">
      <w:start w:val="1"/>
      <w:numFmt w:val="lowerRoman"/>
      <w:lvlText w:val="%6."/>
      <w:lvlJc w:val="right"/>
      <w:pPr>
        <w:ind w:left="5400" w:hanging="180"/>
      </w:pPr>
    </w:lvl>
    <w:lvl w:ilvl="6" w:tplc="0464000F" w:tentative="1">
      <w:start w:val="1"/>
      <w:numFmt w:val="decimal"/>
      <w:lvlText w:val="%7."/>
      <w:lvlJc w:val="left"/>
      <w:pPr>
        <w:ind w:left="6120" w:hanging="360"/>
      </w:pPr>
    </w:lvl>
    <w:lvl w:ilvl="7" w:tplc="04640019" w:tentative="1">
      <w:start w:val="1"/>
      <w:numFmt w:val="lowerLetter"/>
      <w:lvlText w:val="%8."/>
      <w:lvlJc w:val="left"/>
      <w:pPr>
        <w:ind w:left="6840" w:hanging="360"/>
      </w:pPr>
    </w:lvl>
    <w:lvl w:ilvl="8" w:tplc="0464001B" w:tentative="1">
      <w:start w:val="1"/>
      <w:numFmt w:val="lowerRoman"/>
      <w:lvlText w:val="%9."/>
      <w:lvlJc w:val="right"/>
      <w:pPr>
        <w:ind w:left="7560" w:hanging="180"/>
      </w:pPr>
    </w:lvl>
  </w:abstractNum>
  <w:abstractNum w:abstractNumId="4" w15:restartNumberingAfterBreak="0">
    <w:nsid w:val="37A61472"/>
    <w:multiLevelType w:val="hybridMultilevel"/>
    <w:tmpl w:val="A5461860"/>
    <w:lvl w:ilvl="0" w:tplc="34090001">
      <w:start w:val="1"/>
      <w:numFmt w:val="bullet"/>
      <w:lvlText w:val=""/>
      <w:lvlJc w:val="left"/>
      <w:pPr>
        <w:ind w:left="720" w:hanging="360"/>
      </w:pPr>
      <w:rPr>
        <w:rFonts w:ascii="Symbol" w:hAnsi="Symbol"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F821E3F"/>
    <w:multiLevelType w:val="hybridMultilevel"/>
    <w:tmpl w:val="B23ACFC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478A2CC4"/>
    <w:multiLevelType w:val="hybridMultilevel"/>
    <w:tmpl w:val="24B8F23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BD57CE4"/>
    <w:multiLevelType w:val="hybridMultilevel"/>
    <w:tmpl w:val="8766BE9C"/>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4F414463"/>
    <w:multiLevelType w:val="hybridMultilevel"/>
    <w:tmpl w:val="80B41F1C"/>
    <w:lvl w:ilvl="0" w:tplc="3409000F">
      <w:start w:val="1"/>
      <w:numFmt w:val="decimal"/>
      <w:lvlText w:val="%1."/>
      <w:lvlJc w:val="left"/>
      <w:pPr>
        <w:ind w:left="1230" w:hanging="360"/>
      </w:pPr>
    </w:lvl>
    <w:lvl w:ilvl="1" w:tplc="34090019" w:tentative="1">
      <w:start w:val="1"/>
      <w:numFmt w:val="lowerLetter"/>
      <w:lvlText w:val="%2."/>
      <w:lvlJc w:val="left"/>
      <w:pPr>
        <w:ind w:left="1950" w:hanging="360"/>
      </w:pPr>
    </w:lvl>
    <w:lvl w:ilvl="2" w:tplc="3409001B" w:tentative="1">
      <w:start w:val="1"/>
      <w:numFmt w:val="lowerRoman"/>
      <w:lvlText w:val="%3."/>
      <w:lvlJc w:val="right"/>
      <w:pPr>
        <w:ind w:left="2670" w:hanging="180"/>
      </w:pPr>
    </w:lvl>
    <w:lvl w:ilvl="3" w:tplc="3409000F" w:tentative="1">
      <w:start w:val="1"/>
      <w:numFmt w:val="decimal"/>
      <w:lvlText w:val="%4."/>
      <w:lvlJc w:val="left"/>
      <w:pPr>
        <w:ind w:left="3390" w:hanging="360"/>
      </w:pPr>
    </w:lvl>
    <w:lvl w:ilvl="4" w:tplc="34090019" w:tentative="1">
      <w:start w:val="1"/>
      <w:numFmt w:val="lowerLetter"/>
      <w:lvlText w:val="%5."/>
      <w:lvlJc w:val="left"/>
      <w:pPr>
        <w:ind w:left="4110" w:hanging="360"/>
      </w:pPr>
    </w:lvl>
    <w:lvl w:ilvl="5" w:tplc="3409001B" w:tentative="1">
      <w:start w:val="1"/>
      <w:numFmt w:val="lowerRoman"/>
      <w:lvlText w:val="%6."/>
      <w:lvlJc w:val="right"/>
      <w:pPr>
        <w:ind w:left="4830" w:hanging="180"/>
      </w:pPr>
    </w:lvl>
    <w:lvl w:ilvl="6" w:tplc="3409000F" w:tentative="1">
      <w:start w:val="1"/>
      <w:numFmt w:val="decimal"/>
      <w:lvlText w:val="%7."/>
      <w:lvlJc w:val="left"/>
      <w:pPr>
        <w:ind w:left="5550" w:hanging="360"/>
      </w:pPr>
    </w:lvl>
    <w:lvl w:ilvl="7" w:tplc="34090019" w:tentative="1">
      <w:start w:val="1"/>
      <w:numFmt w:val="lowerLetter"/>
      <w:lvlText w:val="%8."/>
      <w:lvlJc w:val="left"/>
      <w:pPr>
        <w:ind w:left="6270" w:hanging="360"/>
      </w:pPr>
    </w:lvl>
    <w:lvl w:ilvl="8" w:tplc="3409001B" w:tentative="1">
      <w:start w:val="1"/>
      <w:numFmt w:val="lowerRoman"/>
      <w:lvlText w:val="%9."/>
      <w:lvlJc w:val="right"/>
      <w:pPr>
        <w:ind w:left="6990" w:hanging="180"/>
      </w:pPr>
    </w:lvl>
  </w:abstractNum>
  <w:abstractNum w:abstractNumId="9" w15:restartNumberingAfterBreak="0">
    <w:nsid w:val="653C7848"/>
    <w:multiLevelType w:val="multilevel"/>
    <w:tmpl w:val="72E89FEE"/>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b w:val="0"/>
        <w:i w:val="0"/>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7A1D0825"/>
    <w:multiLevelType w:val="multilevel"/>
    <w:tmpl w:val="72E89FEE"/>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b w:val="0"/>
        <w:i w:val="0"/>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7C6A3BCA"/>
    <w:multiLevelType w:val="hybridMultilevel"/>
    <w:tmpl w:val="CDE0A4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11"/>
  </w:num>
  <w:num w:numId="6">
    <w:abstractNumId w:val="0"/>
  </w:num>
  <w:num w:numId="7">
    <w:abstractNumId w:val="10"/>
  </w:num>
  <w:num w:numId="8">
    <w:abstractNumId w:val="6"/>
  </w:num>
  <w:num w:numId="9">
    <w:abstractNumId w:val="9"/>
  </w:num>
  <w:num w:numId="10">
    <w:abstractNumId w:val="7"/>
  </w:num>
  <w:num w:numId="11">
    <w:abstractNumId w:val="3"/>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xd57ht/yyUZNOrpp40fJXYBvSPPie/7R6v09TqI4lDxc3afU+IKFRefX0/gmB4CUH54PI6HYEqTe7R28f3adag==" w:salt="TASVEu2udJ6J0PMSeXucMg=="/>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36"/>
    <w:rsid w:val="0000325B"/>
    <w:rsid w:val="00003998"/>
    <w:rsid w:val="00006C68"/>
    <w:rsid w:val="00015D59"/>
    <w:rsid w:val="0002234A"/>
    <w:rsid w:val="00026FB6"/>
    <w:rsid w:val="00030757"/>
    <w:rsid w:val="0003126D"/>
    <w:rsid w:val="00031E3F"/>
    <w:rsid w:val="000334B8"/>
    <w:rsid w:val="000346B5"/>
    <w:rsid w:val="00034AE1"/>
    <w:rsid w:val="00036426"/>
    <w:rsid w:val="0003668B"/>
    <w:rsid w:val="00037E72"/>
    <w:rsid w:val="000525CB"/>
    <w:rsid w:val="00055F10"/>
    <w:rsid w:val="00061969"/>
    <w:rsid w:val="000700C2"/>
    <w:rsid w:val="00070705"/>
    <w:rsid w:val="00072C10"/>
    <w:rsid w:val="00080045"/>
    <w:rsid w:val="00083033"/>
    <w:rsid w:val="00083B0B"/>
    <w:rsid w:val="00095F11"/>
    <w:rsid w:val="000A2E67"/>
    <w:rsid w:val="000A5AE0"/>
    <w:rsid w:val="000A601B"/>
    <w:rsid w:val="000B0188"/>
    <w:rsid w:val="000B0DC1"/>
    <w:rsid w:val="000B1DBB"/>
    <w:rsid w:val="000B2FE4"/>
    <w:rsid w:val="000C42C4"/>
    <w:rsid w:val="000C6150"/>
    <w:rsid w:val="000D04B5"/>
    <w:rsid w:val="000D191E"/>
    <w:rsid w:val="000D2325"/>
    <w:rsid w:val="000D5A7C"/>
    <w:rsid w:val="000D7323"/>
    <w:rsid w:val="000E42F5"/>
    <w:rsid w:val="000F00D8"/>
    <w:rsid w:val="000F2043"/>
    <w:rsid w:val="000F4460"/>
    <w:rsid w:val="000F4DF0"/>
    <w:rsid w:val="000F54CC"/>
    <w:rsid w:val="000F742F"/>
    <w:rsid w:val="0010017A"/>
    <w:rsid w:val="001218E8"/>
    <w:rsid w:val="00127AEE"/>
    <w:rsid w:val="00133DC0"/>
    <w:rsid w:val="00134DAC"/>
    <w:rsid w:val="00137108"/>
    <w:rsid w:val="00141ED1"/>
    <w:rsid w:val="0014408C"/>
    <w:rsid w:val="00144386"/>
    <w:rsid w:val="0015006B"/>
    <w:rsid w:val="00151C28"/>
    <w:rsid w:val="00163716"/>
    <w:rsid w:val="00173889"/>
    <w:rsid w:val="0017419D"/>
    <w:rsid w:val="0017583C"/>
    <w:rsid w:val="001767B0"/>
    <w:rsid w:val="00181107"/>
    <w:rsid w:val="001836DC"/>
    <w:rsid w:val="001854A8"/>
    <w:rsid w:val="00192456"/>
    <w:rsid w:val="0019384F"/>
    <w:rsid w:val="001A14CE"/>
    <w:rsid w:val="001A1C19"/>
    <w:rsid w:val="001A2169"/>
    <w:rsid w:val="001A3276"/>
    <w:rsid w:val="001A4466"/>
    <w:rsid w:val="001A4573"/>
    <w:rsid w:val="001A4582"/>
    <w:rsid w:val="001A53CF"/>
    <w:rsid w:val="001A6F31"/>
    <w:rsid w:val="001A7210"/>
    <w:rsid w:val="001B1E37"/>
    <w:rsid w:val="001B7AC6"/>
    <w:rsid w:val="001C0E0B"/>
    <w:rsid w:val="001C439E"/>
    <w:rsid w:val="001D1693"/>
    <w:rsid w:val="001E61B9"/>
    <w:rsid w:val="001F2C41"/>
    <w:rsid w:val="001F4F7D"/>
    <w:rsid w:val="0020153C"/>
    <w:rsid w:val="00201685"/>
    <w:rsid w:val="002062C7"/>
    <w:rsid w:val="002108B1"/>
    <w:rsid w:val="00245C0B"/>
    <w:rsid w:val="00250291"/>
    <w:rsid w:val="00251ADF"/>
    <w:rsid w:val="00254BE6"/>
    <w:rsid w:val="0026221F"/>
    <w:rsid w:val="00262AC6"/>
    <w:rsid w:val="00265EEE"/>
    <w:rsid w:val="00267076"/>
    <w:rsid w:val="00270A63"/>
    <w:rsid w:val="00276E74"/>
    <w:rsid w:val="00282254"/>
    <w:rsid w:val="00284122"/>
    <w:rsid w:val="0029149E"/>
    <w:rsid w:val="00294FE7"/>
    <w:rsid w:val="0029573F"/>
    <w:rsid w:val="00296859"/>
    <w:rsid w:val="0029694E"/>
    <w:rsid w:val="00297C31"/>
    <w:rsid w:val="002A378B"/>
    <w:rsid w:val="002B0952"/>
    <w:rsid w:val="002B648F"/>
    <w:rsid w:val="002C2BF9"/>
    <w:rsid w:val="002C7B2B"/>
    <w:rsid w:val="002D15E2"/>
    <w:rsid w:val="002D5D47"/>
    <w:rsid w:val="002D63D8"/>
    <w:rsid w:val="002E7497"/>
    <w:rsid w:val="002F0DED"/>
    <w:rsid w:val="002F45F9"/>
    <w:rsid w:val="002F7BC2"/>
    <w:rsid w:val="00306E40"/>
    <w:rsid w:val="00312E00"/>
    <w:rsid w:val="00314FC4"/>
    <w:rsid w:val="00315143"/>
    <w:rsid w:val="003159B9"/>
    <w:rsid w:val="00316A7E"/>
    <w:rsid w:val="00316C47"/>
    <w:rsid w:val="00322707"/>
    <w:rsid w:val="00322A7E"/>
    <w:rsid w:val="00325156"/>
    <w:rsid w:val="00326A86"/>
    <w:rsid w:val="00326CC6"/>
    <w:rsid w:val="003270C6"/>
    <w:rsid w:val="003272F7"/>
    <w:rsid w:val="0033165E"/>
    <w:rsid w:val="00337756"/>
    <w:rsid w:val="00343A7C"/>
    <w:rsid w:val="00346121"/>
    <w:rsid w:val="0035176E"/>
    <w:rsid w:val="00352593"/>
    <w:rsid w:val="003531E8"/>
    <w:rsid w:val="003550A9"/>
    <w:rsid w:val="00360976"/>
    <w:rsid w:val="003621D8"/>
    <w:rsid w:val="00366F9F"/>
    <w:rsid w:val="0036764D"/>
    <w:rsid w:val="00376653"/>
    <w:rsid w:val="0038433E"/>
    <w:rsid w:val="0038700B"/>
    <w:rsid w:val="00394461"/>
    <w:rsid w:val="00394D10"/>
    <w:rsid w:val="0039749C"/>
    <w:rsid w:val="003A5C47"/>
    <w:rsid w:val="003B0383"/>
    <w:rsid w:val="003B7E4A"/>
    <w:rsid w:val="003C1AE6"/>
    <w:rsid w:val="003D4DE9"/>
    <w:rsid w:val="003E5364"/>
    <w:rsid w:val="003E5D36"/>
    <w:rsid w:val="003E68C3"/>
    <w:rsid w:val="003F5516"/>
    <w:rsid w:val="003F5F47"/>
    <w:rsid w:val="00402F0D"/>
    <w:rsid w:val="004032D6"/>
    <w:rsid w:val="004076C1"/>
    <w:rsid w:val="004110D9"/>
    <w:rsid w:val="004215C8"/>
    <w:rsid w:val="00424C3C"/>
    <w:rsid w:val="00427CE7"/>
    <w:rsid w:val="004322B8"/>
    <w:rsid w:val="0043470B"/>
    <w:rsid w:val="004376ED"/>
    <w:rsid w:val="00444A96"/>
    <w:rsid w:val="00444E29"/>
    <w:rsid w:val="00445D93"/>
    <w:rsid w:val="00446620"/>
    <w:rsid w:val="00455290"/>
    <w:rsid w:val="0046416D"/>
    <w:rsid w:val="00466424"/>
    <w:rsid w:val="00474FCB"/>
    <w:rsid w:val="00477E98"/>
    <w:rsid w:val="00486CCB"/>
    <w:rsid w:val="0049115D"/>
    <w:rsid w:val="00491C77"/>
    <w:rsid w:val="00492403"/>
    <w:rsid w:val="0049586A"/>
    <w:rsid w:val="004A0FF1"/>
    <w:rsid w:val="004A5241"/>
    <w:rsid w:val="004B025B"/>
    <w:rsid w:val="004B03C5"/>
    <w:rsid w:val="004B364B"/>
    <w:rsid w:val="004B3E59"/>
    <w:rsid w:val="004C2573"/>
    <w:rsid w:val="004C626A"/>
    <w:rsid w:val="004D0694"/>
    <w:rsid w:val="004D1150"/>
    <w:rsid w:val="004D38AC"/>
    <w:rsid w:val="004D6F8F"/>
    <w:rsid w:val="004D7CB4"/>
    <w:rsid w:val="004E2155"/>
    <w:rsid w:val="004F4D96"/>
    <w:rsid w:val="00500776"/>
    <w:rsid w:val="005008C5"/>
    <w:rsid w:val="005015AE"/>
    <w:rsid w:val="00502288"/>
    <w:rsid w:val="0053514C"/>
    <w:rsid w:val="00545791"/>
    <w:rsid w:val="00545AC4"/>
    <w:rsid w:val="00547210"/>
    <w:rsid w:val="00555370"/>
    <w:rsid w:val="00562283"/>
    <w:rsid w:val="00565950"/>
    <w:rsid w:val="00565AE6"/>
    <w:rsid w:val="00565EE5"/>
    <w:rsid w:val="0056637E"/>
    <w:rsid w:val="00566583"/>
    <w:rsid w:val="00571245"/>
    <w:rsid w:val="00573F83"/>
    <w:rsid w:val="00593F12"/>
    <w:rsid w:val="00594456"/>
    <w:rsid w:val="005A1262"/>
    <w:rsid w:val="005A2A3B"/>
    <w:rsid w:val="005A4D3C"/>
    <w:rsid w:val="005A550B"/>
    <w:rsid w:val="005A5731"/>
    <w:rsid w:val="005A5AF7"/>
    <w:rsid w:val="005A7A49"/>
    <w:rsid w:val="005B398F"/>
    <w:rsid w:val="005B5F5C"/>
    <w:rsid w:val="005C04FB"/>
    <w:rsid w:val="005C3C5E"/>
    <w:rsid w:val="005C5DEB"/>
    <w:rsid w:val="005C6733"/>
    <w:rsid w:val="005D1675"/>
    <w:rsid w:val="005D34BE"/>
    <w:rsid w:val="005D5D76"/>
    <w:rsid w:val="005E138D"/>
    <w:rsid w:val="005E24E3"/>
    <w:rsid w:val="005E3982"/>
    <w:rsid w:val="005F10F8"/>
    <w:rsid w:val="005F5A95"/>
    <w:rsid w:val="005F6584"/>
    <w:rsid w:val="005F79CD"/>
    <w:rsid w:val="006037D3"/>
    <w:rsid w:val="0061044F"/>
    <w:rsid w:val="00610BF6"/>
    <w:rsid w:val="00620758"/>
    <w:rsid w:val="006212B2"/>
    <w:rsid w:val="006356BC"/>
    <w:rsid w:val="0064489B"/>
    <w:rsid w:val="00644EF0"/>
    <w:rsid w:val="00650A7F"/>
    <w:rsid w:val="00654730"/>
    <w:rsid w:val="00655C71"/>
    <w:rsid w:val="00655C85"/>
    <w:rsid w:val="00657181"/>
    <w:rsid w:val="006572C4"/>
    <w:rsid w:val="00660F05"/>
    <w:rsid w:val="00661524"/>
    <w:rsid w:val="00662462"/>
    <w:rsid w:val="00663513"/>
    <w:rsid w:val="00663F31"/>
    <w:rsid w:val="006644A7"/>
    <w:rsid w:val="00664865"/>
    <w:rsid w:val="00665B75"/>
    <w:rsid w:val="006672A0"/>
    <w:rsid w:val="00667CD4"/>
    <w:rsid w:val="006721DD"/>
    <w:rsid w:val="00672BFC"/>
    <w:rsid w:val="0068140A"/>
    <w:rsid w:val="00683476"/>
    <w:rsid w:val="006877FA"/>
    <w:rsid w:val="00691D41"/>
    <w:rsid w:val="00693D70"/>
    <w:rsid w:val="00695359"/>
    <w:rsid w:val="0069784A"/>
    <w:rsid w:val="006A472F"/>
    <w:rsid w:val="006A4A62"/>
    <w:rsid w:val="006A60F1"/>
    <w:rsid w:val="006A6456"/>
    <w:rsid w:val="006A7C36"/>
    <w:rsid w:val="006B49ED"/>
    <w:rsid w:val="006C01D1"/>
    <w:rsid w:val="006C0C8A"/>
    <w:rsid w:val="006C1BBF"/>
    <w:rsid w:val="006C6B08"/>
    <w:rsid w:val="006D0186"/>
    <w:rsid w:val="006D1BED"/>
    <w:rsid w:val="006D20E1"/>
    <w:rsid w:val="006D348D"/>
    <w:rsid w:val="006D413C"/>
    <w:rsid w:val="006D440A"/>
    <w:rsid w:val="006D4CD1"/>
    <w:rsid w:val="006D6F36"/>
    <w:rsid w:val="006E232E"/>
    <w:rsid w:val="006E775B"/>
    <w:rsid w:val="006F03A2"/>
    <w:rsid w:val="006F087C"/>
    <w:rsid w:val="007002DE"/>
    <w:rsid w:val="00701692"/>
    <w:rsid w:val="00704982"/>
    <w:rsid w:val="007129C8"/>
    <w:rsid w:val="0071685B"/>
    <w:rsid w:val="00724CED"/>
    <w:rsid w:val="00727E50"/>
    <w:rsid w:val="00727ECB"/>
    <w:rsid w:val="00736447"/>
    <w:rsid w:val="00741232"/>
    <w:rsid w:val="00741A67"/>
    <w:rsid w:val="007458D9"/>
    <w:rsid w:val="0076071B"/>
    <w:rsid w:val="00773C3B"/>
    <w:rsid w:val="00775423"/>
    <w:rsid w:val="00775EAC"/>
    <w:rsid w:val="00780815"/>
    <w:rsid w:val="00785404"/>
    <w:rsid w:val="007A0949"/>
    <w:rsid w:val="007A4581"/>
    <w:rsid w:val="007B72A3"/>
    <w:rsid w:val="007C028F"/>
    <w:rsid w:val="007C2E10"/>
    <w:rsid w:val="007C5C71"/>
    <w:rsid w:val="007E18B5"/>
    <w:rsid w:val="007E44C6"/>
    <w:rsid w:val="007F2562"/>
    <w:rsid w:val="007F641C"/>
    <w:rsid w:val="00801EC5"/>
    <w:rsid w:val="008038C8"/>
    <w:rsid w:val="008062CE"/>
    <w:rsid w:val="00810E96"/>
    <w:rsid w:val="00811E58"/>
    <w:rsid w:val="00812066"/>
    <w:rsid w:val="00813098"/>
    <w:rsid w:val="00820F5B"/>
    <w:rsid w:val="00823781"/>
    <w:rsid w:val="00832156"/>
    <w:rsid w:val="00835B95"/>
    <w:rsid w:val="00844541"/>
    <w:rsid w:val="00845756"/>
    <w:rsid w:val="008470F6"/>
    <w:rsid w:val="00864045"/>
    <w:rsid w:val="008647F7"/>
    <w:rsid w:val="008671E4"/>
    <w:rsid w:val="00871EB7"/>
    <w:rsid w:val="00874B4A"/>
    <w:rsid w:val="0087506B"/>
    <w:rsid w:val="00876676"/>
    <w:rsid w:val="00882FA6"/>
    <w:rsid w:val="008849A5"/>
    <w:rsid w:val="00884FF3"/>
    <w:rsid w:val="00892063"/>
    <w:rsid w:val="008A4439"/>
    <w:rsid w:val="008A4B76"/>
    <w:rsid w:val="008B7383"/>
    <w:rsid w:val="008B7A68"/>
    <w:rsid w:val="008C021E"/>
    <w:rsid w:val="008C4CC9"/>
    <w:rsid w:val="008C699D"/>
    <w:rsid w:val="008C7182"/>
    <w:rsid w:val="008D6824"/>
    <w:rsid w:val="008E0ED9"/>
    <w:rsid w:val="008E43BC"/>
    <w:rsid w:val="008E5141"/>
    <w:rsid w:val="008F1C70"/>
    <w:rsid w:val="008F6497"/>
    <w:rsid w:val="009064FA"/>
    <w:rsid w:val="00917377"/>
    <w:rsid w:val="009244F6"/>
    <w:rsid w:val="00926330"/>
    <w:rsid w:val="009270B8"/>
    <w:rsid w:val="009272A0"/>
    <w:rsid w:val="009276A4"/>
    <w:rsid w:val="00930A3B"/>
    <w:rsid w:val="00932FEE"/>
    <w:rsid w:val="00936644"/>
    <w:rsid w:val="00941416"/>
    <w:rsid w:val="009421A6"/>
    <w:rsid w:val="00942284"/>
    <w:rsid w:val="00943B1F"/>
    <w:rsid w:val="00953209"/>
    <w:rsid w:val="00962DCB"/>
    <w:rsid w:val="009656C4"/>
    <w:rsid w:val="00970FCA"/>
    <w:rsid w:val="00977CEA"/>
    <w:rsid w:val="00984B02"/>
    <w:rsid w:val="009866FC"/>
    <w:rsid w:val="00986BBE"/>
    <w:rsid w:val="00986DB4"/>
    <w:rsid w:val="009873AD"/>
    <w:rsid w:val="009935B7"/>
    <w:rsid w:val="00994B9B"/>
    <w:rsid w:val="009B106B"/>
    <w:rsid w:val="009B28B8"/>
    <w:rsid w:val="009C0122"/>
    <w:rsid w:val="009C102C"/>
    <w:rsid w:val="009C286E"/>
    <w:rsid w:val="009D4B44"/>
    <w:rsid w:val="009D7C51"/>
    <w:rsid w:val="009E46B0"/>
    <w:rsid w:val="009F237C"/>
    <w:rsid w:val="009F2883"/>
    <w:rsid w:val="009F5F2A"/>
    <w:rsid w:val="00A01683"/>
    <w:rsid w:val="00A01CCD"/>
    <w:rsid w:val="00A11557"/>
    <w:rsid w:val="00A20392"/>
    <w:rsid w:val="00A20B05"/>
    <w:rsid w:val="00A20BCD"/>
    <w:rsid w:val="00A32445"/>
    <w:rsid w:val="00A333D4"/>
    <w:rsid w:val="00A35644"/>
    <w:rsid w:val="00A4110D"/>
    <w:rsid w:val="00A420F8"/>
    <w:rsid w:val="00A42B05"/>
    <w:rsid w:val="00A45AD4"/>
    <w:rsid w:val="00A510C1"/>
    <w:rsid w:val="00A518D4"/>
    <w:rsid w:val="00A55A23"/>
    <w:rsid w:val="00A57965"/>
    <w:rsid w:val="00A63D8E"/>
    <w:rsid w:val="00A655CE"/>
    <w:rsid w:val="00A67A8E"/>
    <w:rsid w:val="00A71BA3"/>
    <w:rsid w:val="00A73571"/>
    <w:rsid w:val="00A82750"/>
    <w:rsid w:val="00A847E8"/>
    <w:rsid w:val="00A85049"/>
    <w:rsid w:val="00A870F9"/>
    <w:rsid w:val="00A873C9"/>
    <w:rsid w:val="00A91E4B"/>
    <w:rsid w:val="00A95615"/>
    <w:rsid w:val="00AA09AB"/>
    <w:rsid w:val="00AA29BD"/>
    <w:rsid w:val="00AA3E47"/>
    <w:rsid w:val="00AA40FF"/>
    <w:rsid w:val="00AA55F7"/>
    <w:rsid w:val="00AA6B83"/>
    <w:rsid w:val="00AB3EC0"/>
    <w:rsid w:val="00AC2C64"/>
    <w:rsid w:val="00AC349A"/>
    <w:rsid w:val="00AD7A04"/>
    <w:rsid w:val="00AE00A7"/>
    <w:rsid w:val="00AE4652"/>
    <w:rsid w:val="00AE4AE7"/>
    <w:rsid w:val="00AE75D9"/>
    <w:rsid w:val="00AF101D"/>
    <w:rsid w:val="00AF6400"/>
    <w:rsid w:val="00B017F7"/>
    <w:rsid w:val="00B06D78"/>
    <w:rsid w:val="00B10D29"/>
    <w:rsid w:val="00B20F0C"/>
    <w:rsid w:val="00B21032"/>
    <w:rsid w:val="00B21EDE"/>
    <w:rsid w:val="00B22F34"/>
    <w:rsid w:val="00B231E3"/>
    <w:rsid w:val="00B26D2E"/>
    <w:rsid w:val="00B30593"/>
    <w:rsid w:val="00B340FD"/>
    <w:rsid w:val="00B36F67"/>
    <w:rsid w:val="00B43C79"/>
    <w:rsid w:val="00B5342C"/>
    <w:rsid w:val="00B5550B"/>
    <w:rsid w:val="00B63215"/>
    <w:rsid w:val="00B63772"/>
    <w:rsid w:val="00B755F3"/>
    <w:rsid w:val="00B828E4"/>
    <w:rsid w:val="00B82D2A"/>
    <w:rsid w:val="00B866E9"/>
    <w:rsid w:val="00B93BCF"/>
    <w:rsid w:val="00B9700E"/>
    <w:rsid w:val="00BA0ED0"/>
    <w:rsid w:val="00BA322B"/>
    <w:rsid w:val="00BA409B"/>
    <w:rsid w:val="00BA6AC1"/>
    <w:rsid w:val="00BB3BF1"/>
    <w:rsid w:val="00BB6C0C"/>
    <w:rsid w:val="00BC376D"/>
    <w:rsid w:val="00BC3C78"/>
    <w:rsid w:val="00BC6113"/>
    <w:rsid w:val="00BD121B"/>
    <w:rsid w:val="00BD3CC5"/>
    <w:rsid w:val="00BE0B80"/>
    <w:rsid w:val="00BE5B40"/>
    <w:rsid w:val="00BF4AAE"/>
    <w:rsid w:val="00C0122D"/>
    <w:rsid w:val="00C066C8"/>
    <w:rsid w:val="00C114D8"/>
    <w:rsid w:val="00C14810"/>
    <w:rsid w:val="00C31357"/>
    <w:rsid w:val="00C34509"/>
    <w:rsid w:val="00C35929"/>
    <w:rsid w:val="00C35BFF"/>
    <w:rsid w:val="00C3719C"/>
    <w:rsid w:val="00C40205"/>
    <w:rsid w:val="00C407B9"/>
    <w:rsid w:val="00C4089C"/>
    <w:rsid w:val="00C416B5"/>
    <w:rsid w:val="00C52144"/>
    <w:rsid w:val="00C52695"/>
    <w:rsid w:val="00C5409E"/>
    <w:rsid w:val="00C57230"/>
    <w:rsid w:val="00C57E37"/>
    <w:rsid w:val="00C60192"/>
    <w:rsid w:val="00C61775"/>
    <w:rsid w:val="00C64BCF"/>
    <w:rsid w:val="00C655B6"/>
    <w:rsid w:val="00C65A20"/>
    <w:rsid w:val="00C7050F"/>
    <w:rsid w:val="00C741F6"/>
    <w:rsid w:val="00C74903"/>
    <w:rsid w:val="00C75AB0"/>
    <w:rsid w:val="00C90566"/>
    <w:rsid w:val="00C96F3D"/>
    <w:rsid w:val="00CA438B"/>
    <w:rsid w:val="00CA5A56"/>
    <w:rsid w:val="00CB6BC0"/>
    <w:rsid w:val="00CC3167"/>
    <w:rsid w:val="00CC67DD"/>
    <w:rsid w:val="00CD2084"/>
    <w:rsid w:val="00CD486F"/>
    <w:rsid w:val="00CD5C4C"/>
    <w:rsid w:val="00CE07A7"/>
    <w:rsid w:val="00CE0E5A"/>
    <w:rsid w:val="00CE2DEF"/>
    <w:rsid w:val="00CE54FE"/>
    <w:rsid w:val="00CE59F7"/>
    <w:rsid w:val="00CF0B1A"/>
    <w:rsid w:val="00CF0E27"/>
    <w:rsid w:val="00CF0F7F"/>
    <w:rsid w:val="00CF49B5"/>
    <w:rsid w:val="00D02E17"/>
    <w:rsid w:val="00D10B0B"/>
    <w:rsid w:val="00D12169"/>
    <w:rsid w:val="00D14523"/>
    <w:rsid w:val="00D14877"/>
    <w:rsid w:val="00D1606B"/>
    <w:rsid w:val="00D16196"/>
    <w:rsid w:val="00D16EFE"/>
    <w:rsid w:val="00D20847"/>
    <w:rsid w:val="00D2367A"/>
    <w:rsid w:val="00D25617"/>
    <w:rsid w:val="00D307FB"/>
    <w:rsid w:val="00D53947"/>
    <w:rsid w:val="00D664D4"/>
    <w:rsid w:val="00D67362"/>
    <w:rsid w:val="00D709DA"/>
    <w:rsid w:val="00D73A17"/>
    <w:rsid w:val="00D768D8"/>
    <w:rsid w:val="00D822A7"/>
    <w:rsid w:val="00D853EE"/>
    <w:rsid w:val="00D85590"/>
    <w:rsid w:val="00D85844"/>
    <w:rsid w:val="00D86011"/>
    <w:rsid w:val="00D86E93"/>
    <w:rsid w:val="00D86F52"/>
    <w:rsid w:val="00DA0C4F"/>
    <w:rsid w:val="00DA17AE"/>
    <w:rsid w:val="00DB254E"/>
    <w:rsid w:val="00DB4CE6"/>
    <w:rsid w:val="00DB564F"/>
    <w:rsid w:val="00DC59CB"/>
    <w:rsid w:val="00DD056E"/>
    <w:rsid w:val="00DD4E36"/>
    <w:rsid w:val="00DE6D59"/>
    <w:rsid w:val="00DF099A"/>
    <w:rsid w:val="00DF1C2F"/>
    <w:rsid w:val="00DF7086"/>
    <w:rsid w:val="00E00B04"/>
    <w:rsid w:val="00E0116D"/>
    <w:rsid w:val="00E02D87"/>
    <w:rsid w:val="00E13F81"/>
    <w:rsid w:val="00E25BCA"/>
    <w:rsid w:val="00E31F53"/>
    <w:rsid w:val="00E330DA"/>
    <w:rsid w:val="00E379AF"/>
    <w:rsid w:val="00E42A28"/>
    <w:rsid w:val="00E5102E"/>
    <w:rsid w:val="00E545B3"/>
    <w:rsid w:val="00E57F45"/>
    <w:rsid w:val="00E65FB8"/>
    <w:rsid w:val="00E6679B"/>
    <w:rsid w:val="00E72274"/>
    <w:rsid w:val="00E768C3"/>
    <w:rsid w:val="00E83BBF"/>
    <w:rsid w:val="00E84496"/>
    <w:rsid w:val="00E9760F"/>
    <w:rsid w:val="00EA1150"/>
    <w:rsid w:val="00EA567B"/>
    <w:rsid w:val="00EA7264"/>
    <w:rsid w:val="00EB0F38"/>
    <w:rsid w:val="00EB637F"/>
    <w:rsid w:val="00EC2A7D"/>
    <w:rsid w:val="00EC3C36"/>
    <w:rsid w:val="00EC7206"/>
    <w:rsid w:val="00ED0D26"/>
    <w:rsid w:val="00ED2869"/>
    <w:rsid w:val="00ED4B94"/>
    <w:rsid w:val="00EE016D"/>
    <w:rsid w:val="00EE7120"/>
    <w:rsid w:val="00EF0851"/>
    <w:rsid w:val="00EF1FD0"/>
    <w:rsid w:val="00EF2BD3"/>
    <w:rsid w:val="00EF7F47"/>
    <w:rsid w:val="00F009E7"/>
    <w:rsid w:val="00F1036A"/>
    <w:rsid w:val="00F11AFE"/>
    <w:rsid w:val="00F13D0F"/>
    <w:rsid w:val="00F15376"/>
    <w:rsid w:val="00F36D56"/>
    <w:rsid w:val="00F45783"/>
    <w:rsid w:val="00F4779B"/>
    <w:rsid w:val="00F51614"/>
    <w:rsid w:val="00F5324D"/>
    <w:rsid w:val="00F554B7"/>
    <w:rsid w:val="00F5796E"/>
    <w:rsid w:val="00F57BB0"/>
    <w:rsid w:val="00F620BB"/>
    <w:rsid w:val="00F645DB"/>
    <w:rsid w:val="00F64E47"/>
    <w:rsid w:val="00F728A5"/>
    <w:rsid w:val="00F7344E"/>
    <w:rsid w:val="00F77339"/>
    <w:rsid w:val="00F825E5"/>
    <w:rsid w:val="00F82A0E"/>
    <w:rsid w:val="00F833D2"/>
    <w:rsid w:val="00F8519C"/>
    <w:rsid w:val="00F940BC"/>
    <w:rsid w:val="00F953A7"/>
    <w:rsid w:val="00FA1064"/>
    <w:rsid w:val="00FA7E29"/>
    <w:rsid w:val="00FB459C"/>
    <w:rsid w:val="00FB659D"/>
    <w:rsid w:val="00FC046B"/>
    <w:rsid w:val="00FC1DAE"/>
    <w:rsid w:val="00FC273B"/>
    <w:rsid w:val="00FC50DF"/>
    <w:rsid w:val="00FC688A"/>
    <w:rsid w:val="00FD0A18"/>
    <w:rsid w:val="00FD2E05"/>
    <w:rsid w:val="00FD563D"/>
    <w:rsid w:val="00FE2948"/>
    <w:rsid w:val="00FF0EEB"/>
    <w:rsid w:val="00FF3EBD"/>
    <w:rsid w:val="00FF493C"/>
    <w:rsid w:val="00FF5A93"/>
    <w:rsid w:val="00FF73EF"/>
    <w:rsid w:val="00FF7DCC"/>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761A293-ED40-4D68-BD67-B5BF1330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E0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6A7C36"/>
    <w:pPr>
      <w:suppressAutoHyphens/>
      <w:spacing w:after="0" w:line="240" w:lineRule="auto"/>
      <w:ind w:left="907"/>
      <w:jc w:val="center"/>
    </w:pPr>
    <w:rPr>
      <w:rFonts w:ascii="Times New Roman" w:eastAsia="Times New Roman" w:hAnsi="Times New Roman" w:cs="Times New Roman"/>
      <w:b/>
      <w:bCs/>
      <w:sz w:val="28"/>
      <w:szCs w:val="28"/>
      <w:lang w:eastAsia="ar-SA"/>
    </w:rPr>
  </w:style>
  <w:style w:type="character" w:customStyle="1" w:styleId="TitleChar">
    <w:name w:val="Title Char"/>
    <w:basedOn w:val="DefaultParagraphFont"/>
    <w:link w:val="Title"/>
    <w:uiPriority w:val="99"/>
    <w:rsid w:val="006A7C36"/>
    <w:rPr>
      <w:rFonts w:ascii="Times New Roman" w:hAnsi="Times New Roman" w:cs="Times New Roman"/>
      <w:b/>
      <w:bCs/>
      <w:sz w:val="24"/>
      <w:szCs w:val="24"/>
      <w:lang w:eastAsia="ar-SA" w:bidi="ar-SA"/>
    </w:rPr>
  </w:style>
  <w:style w:type="paragraph" w:styleId="Subtitle">
    <w:name w:val="Subtitle"/>
    <w:basedOn w:val="Normal"/>
    <w:next w:val="Normal"/>
    <w:link w:val="SubtitleChar"/>
    <w:uiPriority w:val="99"/>
    <w:qFormat/>
    <w:rsid w:val="006A7C3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6A7C36"/>
    <w:rPr>
      <w:rFonts w:ascii="Cambria" w:hAnsi="Cambria" w:cs="Cambria"/>
      <w:i/>
      <w:iCs/>
      <w:color w:val="4F81BD"/>
      <w:spacing w:val="15"/>
      <w:sz w:val="24"/>
      <w:szCs w:val="24"/>
    </w:rPr>
  </w:style>
  <w:style w:type="paragraph" w:styleId="ListParagraph">
    <w:name w:val="List Paragraph"/>
    <w:basedOn w:val="Normal"/>
    <w:uiPriority w:val="99"/>
    <w:qFormat/>
    <w:rsid w:val="006A7C36"/>
    <w:pPr>
      <w:ind w:left="720"/>
    </w:pPr>
  </w:style>
  <w:style w:type="paragraph" w:styleId="Header">
    <w:name w:val="header"/>
    <w:basedOn w:val="Normal"/>
    <w:link w:val="HeaderChar"/>
    <w:semiHidden/>
    <w:rsid w:val="002841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4122"/>
  </w:style>
  <w:style w:type="paragraph" w:styleId="Footer">
    <w:name w:val="footer"/>
    <w:basedOn w:val="Normal"/>
    <w:link w:val="FooterChar"/>
    <w:uiPriority w:val="99"/>
    <w:rsid w:val="0028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122"/>
  </w:style>
  <w:style w:type="paragraph" w:styleId="BodyTextIndent3">
    <w:name w:val="Body Text Indent 3"/>
    <w:basedOn w:val="Normal"/>
    <w:link w:val="BodyTextIndent3Char"/>
    <w:uiPriority w:val="99"/>
    <w:rsid w:val="00A67A8E"/>
    <w:pPr>
      <w:spacing w:after="0" w:line="240" w:lineRule="auto"/>
      <w:ind w:left="72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A67A8E"/>
    <w:rPr>
      <w:rFonts w:ascii="Times New Roman" w:hAnsi="Times New Roman" w:cs="Times New Roman"/>
      <w:sz w:val="20"/>
      <w:szCs w:val="20"/>
    </w:rPr>
  </w:style>
  <w:style w:type="paragraph" w:customStyle="1" w:styleId="Style1">
    <w:name w:val="Style1"/>
    <w:basedOn w:val="Normal"/>
    <w:uiPriority w:val="99"/>
    <w:rsid w:val="00A67A8E"/>
    <w:pPr>
      <w:spacing w:after="0" w:line="240" w:lineRule="auto"/>
      <w:ind w:left="1440" w:hanging="72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5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A93"/>
    <w:rPr>
      <w:rFonts w:ascii="Tahoma" w:hAnsi="Tahoma" w:cs="Tahoma"/>
      <w:sz w:val="16"/>
      <w:szCs w:val="16"/>
    </w:rPr>
  </w:style>
  <w:style w:type="paragraph" w:styleId="BodyText">
    <w:name w:val="Body Text"/>
    <w:basedOn w:val="Normal"/>
    <w:link w:val="BodyTextChar"/>
    <w:unhideWhenUsed/>
    <w:rsid w:val="00FF5A93"/>
    <w:pPr>
      <w:spacing w:after="120"/>
    </w:pPr>
  </w:style>
  <w:style w:type="character" w:customStyle="1" w:styleId="BodyTextChar">
    <w:name w:val="Body Text Char"/>
    <w:basedOn w:val="DefaultParagraphFont"/>
    <w:link w:val="BodyText"/>
    <w:uiPriority w:val="99"/>
    <w:rsid w:val="00FF5A93"/>
    <w:rPr>
      <w:rFonts w:cs="Calibri"/>
    </w:rPr>
  </w:style>
  <w:style w:type="paragraph" w:customStyle="1" w:styleId="Index">
    <w:name w:val="Index"/>
    <w:basedOn w:val="Normal"/>
    <w:rsid w:val="00E545B3"/>
    <w:pPr>
      <w:widowControl w:val="0"/>
      <w:suppressLineNumbers/>
      <w:suppressAutoHyphens/>
      <w:overflowPunct w:val="0"/>
      <w:spacing w:after="0" w:line="240" w:lineRule="auto"/>
    </w:pPr>
    <w:rPr>
      <w:rFonts w:ascii="Tahoma" w:eastAsia="Times New Roman" w:hAnsi="Tahoma" w:cs="Tahoma"/>
      <w:kern w:val="1"/>
      <w:sz w:val="24"/>
      <w:szCs w:val="24"/>
      <w:lang w:eastAsia="ar-SA"/>
    </w:rPr>
  </w:style>
  <w:style w:type="character" w:customStyle="1" w:styleId="WW8Num5z2">
    <w:name w:val="WW8Num5z2"/>
    <w:rsid w:val="00E545B3"/>
    <w:rPr>
      <w:rFonts w:ascii="Wingdings" w:hAnsi="Wingdings"/>
    </w:rPr>
  </w:style>
  <w:style w:type="table" w:styleId="TableGrid">
    <w:name w:val="Table Grid"/>
    <w:basedOn w:val="TableNormal"/>
    <w:rsid w:val="001A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15C8"/>
    <w:rPr>
      <w:sz w:val="16"/>
      <w:szCs w:val="16"/>
    </w:rPr>
  </w:style>
  <w:style w:type="paragraph" w:styleId="CommentText">
    <w:name w:val="annotation text"/>
    <w:basedOn w:val="Normal"/>
    <w:link w:val="CommentTextChar"/>
    <w:uiPriority w:val="99"/>
    <w:semiHidden/>
    <w:unhideWhenUsed/>
    <w:rsid w:val="004215C8"/>
    <w:pPr>
      <w:spacing w:line="240" w:lineRule="auto"/>
    </w:pPr>
    <w:rPr>
      <w:sz w:val="20"/>
      <w:szCs w:val="20"/>
    </w:rPr>
  </w:style>
  <w:style w:type="character" w:customStyle="1" w:styleId="CommentTextChar">
    <w:name w:val="Comment Text Char"/>
    <w:basedOn w:val="DefaultParagraphFont"/>
    <w:link w:val="CommentText"/>
    <w:uiPriority w:val="99"/>
    <w:semiHidden/>
    <w:rsid w:val="004215C8"/>
    <w:rPr>
      <w:rFonts w:cs="Calibri"/>
      <w:sz w:val="20"/>
      <w:szCs w:val="20"/>
    </w:rPr>
  </w:style>
  <w:style w:type="paragraph" w:styleId="CommentSubject">
    <w:name w:val="annotation subject"/>
    <w:basedOn w:val="CommentText"/>
    <w:next w:val="CommentText"/>
    <w:link w:val="CommentSubjectChar"/>
    <w:uiPriority w:val="99"/>
    <w:semiHidden/>
    <w:unhideWhenUsed/>
    <w:rsid w:val="004215C8"/>
    <w:rPr>
      <w:b/>
      <w:bCs/>
    </w:rPr>
  </w:style>
  <w:style w:type="character" w:customStyle="1" w:styleId="CommentSubjectChar">
    <w:name w:val="Comment Subject Char"/>
    <w:basedOn w:val="CommentTextChar"/>
    <w:link w:val="CommentSubject"/>
    <w:uiPriority w:val="99"/>
    <w:semiHidden/>
    <w:rsid w:val="004215C8"/>
    <w:rPr>
      <w:rFonts w:cs="Calibri"/>
      <w:b/>
      <w:bCs/>
      <w:sz w:val="20"/>
      <w:szCs w:val="20"/>
    </w:rPr>
  </w:style>
  <w:style w:type="paragraph" w:styleId="NoSpacing">
    <w:name w:val="No Spacing"/>
    <w:uiPriority w:val="1"/>
    <w:qFormat/>
    <w:rsid w:val="000700C2"/>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90918">
      <w:bodyDiv w:val="1"/>
      <w:marLeft w:val="0"/>
      <w:marRight w:val="0"/>
      <w:marTop w:val="0"/>
      <w:marBottom w:val="0"/>
      <w:divBdr>
        <w:top w:val="none" w:sz="0" w:space="0" w:color="auto"/>
        <w:left w:val="none" w:sz="0" w:space="0" w:color="auto"/>
        <w:bottom w:val="none" w:sz="0" w:space="0" w:color="auto"/>
        <w:right w:val="none" w:sz="0" w:space="0" w:color="auto"/>
      </w:divBdr>
    </w:div>
    <w:div w:id="395476772">
      <w:bodyDiv w:val="1"/>
      <w:marLeft w:val="0"/>
      <w:marRight w:val="0"/>
      <w:marTop w:val="0"/>
      <w:marBottom w:val="0"/>
      <w:divBdr>
        <w:top w:val="none" w:sz="0" w:space="0" w:color="auto"/>
        <w:left w:val="none" w:sz="0" w:space="0" w:color="auto"/>
        <w:bottom w:val="none" w:sz="0" w:space="0" w:color="auto"/>
        <w:right w:val="none" w:sz="0" w:space="0" w:color="auto"/>
      </w:divBdr>
    </w:div>
    <w:div w:id="467625850">
      <w:bodyDiv w:val="1"/>
      <w:marLeft w:val="0"/>
      <w:marRight w:val="0"/>
      <w:marTop w:val="0"/>
      <w:marBottom w:val="0"/>
      <w:divBdr>
        <w:top w:val="none" w:sz="0" w:space="0" w:color="auto"/>
        <w:left w:val="none" w:sz="0" w:space="0" w:color="auto"/>
        <w:bottom w:val="none" w:sz="0" w:space="0" w:color="auto"/>
        <w:right w:val="none" w:sz="0" w:space="0" w:color="auto"/>
      </w:divBdr>
    </w:div>
    <w:div w:id="579370519">
      <w:bodyDiv w:val="1"/>
      <w:marLeft w:val="0"/>
      <w:marRight w:val="0"/>
      <w:marTop w:val="0"/>
      <w:marBottom w:val="0"/>
      <w:divBdr>
        <w:top w:val="none" w:sz="0" w:space="0" w:color="auto"/>
        <w:left w:val="none" w:sz="0" w:space="0" w:color="auto"/>
        <w:bottom w:val="none" w:sz="0" w:space="0" w:color="auto"/>
        <w:right w:val="none" w:sz="0" w:space="0" w:color="auto"/>
      </w:divBdr>
    </w:div>
    <w:div w:id="761028726">
      <w:bodyDiv w:val="1"/>
      <w:marLeft w:val="0"/>
      <w:marRight w:val="0"/>
      <w:marTop w:val="0"/>
      <w:marBottom w:val="0"/>
      <w:divBdr>
        <w:top w:val="none" w:sz="0" w:space="0" w:color="auto"/>
        <w:left w:val="none" w:sz="0" w:space="0" w:color="auto"/>
        <w:bottom w:val="none" w:sz="0" w:space="0" w:color="auto"/>
        <w:right w:val="none" w:sz="0" w:space="0" w:color="auto"/>
      </w:divBdr>
    </w:div>
    <w:div w:id="886139697">
      <w:bodyDiv w:val="1"/>
      <w:marLeft w:val="0"/>
      <w:marRight w:val="0"/>
      <w:marTop w:val="0"/>
      <w:marBottom w:val="0"/>
      <w:divBdr>
        <w:top w:val="none" w:sz="0" w:space="0" w:color="auto"/>
        <w:left w:val="none" w:sz="0" w:space="0" w:color="auto"/>
        <w:bottom w:val="none" w:sz="0" w:space="0" w:color="auto"/>
        <w:right w:val="none" w:sz="0" w:space="0" w:color="auto"/>
      </w:divBdr>
    </w:div>
    <w:div w:id="936255163">
      <w:bodyDiv w:val="1"/>
      <w:marLeft w:val="0"/>
      <w:marRight w:val="0"/>
      <w:marTop w:val="0"/>
      <w:marBottom w:val="0"/>
      <w:divBdr>
        <w:top w:val="none" w:sz="0" w:space="0" w:color="auto"/>
        <w:left w:val="none" w:sz="0" w:space="0" w:color="auto"/>
        <w:bottom w:val="none" w:sz="0" w:space="0" w:color="auto"/>
        <w:right w:val="none" w:sz="0" w:space="0" w:color="auto"/>
      </w:divBdr>
    </w:div>
    <w:div w:id="1041591513">
      <w:bodyDiv w:val="1"/>
      <w:marLeft w:val="0"/>
      <w:marRight w:val="0"/>
      <w:marTop w:val="0"/>
      <w:marBottom w:val="0"/>
      <w:divBdr>
        <w:top w:val="none" w:sz="0" w:space="0" w:color="auto"/>
        <w:left w:val="none" w:sz="0" w:space="0" w:color="auto"/>
        <w:bottom w:val="none" w:sz="0" w:space="0" w:color="auto"/>
        <w:right w:val="none" w:sz="0" w:space="0" w:color="auto"/>
      </w:divBdr>
    </w:div>
    <w:div w:id="1044258543">
      <w:bodyDiv w:val="1"/>
      <w:marLeft w:val="0"/>
      <w:marRight w:val="0"/>
      <w:marTop w:val="0"/>
      <w:marBottom w:val="0"/>
      <w:divBdr>
        <w:top w:val="none" w:sz="0" w:space="0" w:color="auto"/>
        <w:left w:val="none" w:sz="0" w:space="0" w:color="auto"/>
        <w:bottom w:val="none" w:sz="0" w:space="0" w:color="auto"/>
        <w:right w:val="none" w:sz="0" w:space="0" w:color="auto"/>
      </w:divBdr>
    </w:div>
    <w:div w:id="1059132377">
      <w:bodyDiv w:val="1"/>
      <w:marLeft w:val="0"/>
      <w:marRight w:val="0"/>
      <w:marTop w:val="0"/>
      <w:marBottom w:val="0"/>
      <w:divBdr>
        <w:top w:val="none" w:sz="0" w:space="0" w:color="auto"/>
        <w:left w:val="none" w:sz="0" w:space="0" w:color="auto"/>
        <w:bottom w:val="none" w:sz="0" w:space="0" w:color="auto"/>
        <w:right w:val="none" w:sz="0" w:space="0" w:color="auto"/>
      </w:divBdr>
    </w:div>
    <w:div w:id="1232231160">
      <w:bodyDiv w:val="1"/>
      <w:marLeft w:val="0"/>
      <w:marRight w:val="0"/>
      <w:marTop w:val="0"/>
      <w:marBottom w:val="0"/>
      <w:divBdr>
        <w:top w:val="none" w:sz="0" w:space="0" w:color="auto"/>
        <w:left w:val="none" w:sz="0" w:space="0" w:color="auto"/>
        <w:bottom w:val="none" w:sz="0" w:space="0" w:color="auto"/>
        <w:right w:val="none" w:sz="0" w:space="0" w:color="auto"/>
      </w:divBdr>
    </w:div>
    <w:div w:id="1297493061">
      <w:bodyDiv w:val="1"/>
      <w:marLeft w:val="0"/>
      <w:marRight w:val="0"/>
      <w:marTop w:val="0"/>
      <w:marBottom w:val="0"/>
      <w:divBdr>
        <w:top w:val="none" w:sz="0" w:space="0" w:color="auto"/>
        <w:left w:val="none" w:sz="0" w:space="0" w:color="auto"/>
        <w:bottom w:val="none" w:sz="0" w:space="0" w:color="auto"/>
        <w:right w:val="none" w:sz="0" w:space="0" w:color="auto"/>
      </w:divBdr>
    </w:div>
    <w:div w:id="1506825656">
      <w:bodyDiv w:val="1"/>
      <w:marLeft w:val="0"/>
      <w:marRight w:val="0"/>
      <w:marTop w:val="0"/>
      <w:marBottom w:val="0"/>
      <w:divBdr>
        <w:top w:val="none" w:sz="0" w:space="0" w:color="auto"/>
        <w:left w:val="none" w:sz="0" w:space="0" w:color="auto"/>
        <w:bottom w:val="none" w:sz="0" w:space="0" w:color="auto"/>
        <w:right w:val="none" w:sz="0" w:space="0" w:color="auto"/>
      </w:divBdr>
    </w:div>
    <w:div w:id="1560089532">
      <w:bodyDiv w:val="1"/>
      <w:marLeft w:val="0"/>
      <w:marRight w:val="0"/>
      <w:marTop w:val="0"/>
      <w:marBottom w:val="0"/>
      <w:divBdr>
        <w:top w:val="none" w:sz="0" w:space="0" w:color="auto"/>
        <w:left w:val="none" w:sz="0" w:space="0" w:color="auto"/>
        <w:bottom w:val="none" w:sz="0" w:space="0" w:color="auto"/>
        <w:right w:val="none" w:sz="0" w:space="0" w:color="auto"/>
      </w:divBdr>
    </w:div>
    <w:div w:id="1814716342">
      <w:bodyDiv w:val="1"/>
      <w:marLeft w:val="0"/>
      <w:marRight w:val="0"/>
      <w:marTop w:val="0"/>
      <w:marBottom w:val="0"/>
      <w:divBdr>
        <w:top w:val="none" w:sz="0" w:space="0" w:color="auto"/>
        <w:left w:val="none" w:sz="0" w:space="0" w:color="auto"/>
        <w:bottom w:val="none" w:sz="0" w:space="0" w:color="auto"/>
        <w:right w:val="none" w:sz="0" w:space="0" w:color="auto"/>
      </w:divBdr>
    </w:div>
    <w:div w:id="1835413493">
      <w:bodyDiv w:val="1"/>
      <w:marLeft w:val="0"/>
      <w:marRight w:val="0"/>
      <w:marTop w:val="0"/>
      <w:marBottom w:val="0"/>
      <w:divBdr>
        <w:top w:val="none" w:sz="0" w:space="0" w:color="auto"/>
        <w:left w:val="none" w:sz="0" w:space="0" w:color="auto"/>
        <w:bottom w:val="none" w:sz="0" w:space="0" w:color="auto"/>
        <w:right w:val="none" w:sz="0" w:space="0" w:color="auto"/>
      </w:divBdr>
    </w:div>
    <w:div w:id="1879514084">
      <w:bodyDiv w:val="1"/>
      <w:marLeft w:val="0"/>
      <w:marRight w:val="0"/>
      <w:marTop w:val="0"/>
      <w:marBottom w:val="0"/>
      <w:divBdr>
        <w:top w:val="none" w:sz="0" w:space="0" w:color="auto"/>
        <w:left w:val="none" w:sz="0" w:space="0" w:color="auto"/>
        <w:bottom w:val="none" w:sz="0" w:space="0" w:color="auto"/>
        <w:right w:val="none" w:sz="0" w:space="0" w:color="auto"/>
      </w:divBdr>
    </w:div>
    <w:div w:id="1889299562">
      <w:bodyDiv w:val="1"/>
      <w:marLeft w:val="0"/>
      <w:marRight w:val="0"/>
      <w:marTop w:val="0"/>
      <w:marBottom w:val="0"/>
      <w:divBdr>
        <w:top w:val="none" w:sz="0" w:space="0" w:color="auto"/>
        <w:left w:val="none" w:sz="0" w:space="0" w:color="auto"/>
        <w:bottom w:val="none" w:sz="0" w:space="0" w:color="auto"/>
        <w:right w:val="none" w:sz="0" w:space="0" w:color="auto"/>
      </w:divBdr>
    </w:div>
    <w:div w:id="1918437515">
      <w:bodyDiv w:val="1"/>
      <w:marLeft w:val="0"/>
      <w:marRight w:val="0"/>
      <w:marTop w:val="0"/>
      <w:marBottom w:val="0"/>
      <w:divBdr>
        <w:top w:val="none" w:sz="0" w:space="0" w:color="auto"/>
        <w:left w:val="none" w:sz="0" w:space="0" w:color="auto"/>
        <w:bottom w:val="none" w:sz="0" w:space="0" w:color="auto"/>
        <w:right w:val="none" w:sz="0" w:space="0" w:color="auto"/>
      </w:divBdr>
    </w:div>
    <w:div w:id="21421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6FE6-F424-4973-95EB-4C441A6F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Audit Observations and Recommendations</vt:lpstr>
    </vt:vector>
  </TitlesOfParts>
  <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Observations and Recommendations</dc:title>
  <dc:subject/>
  <dc:creator>COA - Senate Electoral Tribunal</dc:creator>
  <cp:keywords/>
  <dc:description/>
  <cp:lastModifiedBy>Judivina Antonette P. Canlas</cp:lastModifiedBy>
  <cp:revision>12</cp:revision>
  <cp:lastPrinted>2017-04-18T06:14:00Z</cp:lastPrinted>
  <dcterms:created xsi:type="dcterms:W3CDTF">2017-04-17T07:08:00Z</dcterms:created>
  <dcterms:modified xsi:type="dcterms:W3CDTF">2017-06-02T08:01:00Z</dcterms:modified>
</cp:coreProperties>
</file>